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2595" w14:textId="173C0DCF" w:rsidR="00615369" w:rsidRDefault="00615369" w:rsidP="00615369">
      <w:pPr>
        <w:pStyle w:val="Default"/>
        <w:rPr>
          <w:b/>
          <w:bCs/>
          <w:i/>
          <w:iCs/>
          <w:sz w:val="23"/>
          <w:szCs w:val="23"/>
        </w:rPr>
      </w:pPr>
      <w:r w:rsidRPr="00DD5D55">
        <w:rPr>
          <w:rFonts w:cs="Arial"/>
          <w:b/>
          <w:noProof/>
        </w:rPr>
        <w:drawing>
          <wp:inline distT="0" distB="0" distL="0" distR="0" wp14:anchorId="7E46F3B6" wp14:editId="449F728A">
            <wp:extent cx="2362200" cy="787400"/>
            <wp:effectExtent l="0" t="0" r="0" b="0"/>
            <wp:docPr id="1" name="Picture 1" descr="S:\Provost\0 - Forms, Lists, Electronic Signatures, Expenses, Attendance\Logos\TUBW.JPG"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a:ln>
                      <a:noFill/>
                    </a:ln>
                  </pic:spPr>
                </pic:pic>
              </a:graphicData>
            </a:graphic>
          </wp:inline>
        </w:drawing>
      </w:r>
    </w:p>
    <w:p w14:paraId="65E5198D" w14:textId="247A01FB" w:rsidR="00615369" w:rsidRDefault="00615369" w:rsidP="00615369">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October 30, 2019 </w:t>
      </w:r>
    </w:p>
    <w:p w14:paraId="21122F0C" w14:textId="4E2081E0" w:rsidR="00615369" w:rsidRDefault="00615369" w:rsidP="00615369">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October 29, 2019 </w:t>
      </w:r>
    </w:p>
    <w:p w14:paraId="30208E37" w14:textId="6AD8B8F2" w:rsidR="00615369" w:rsidRPr="008A2FB8" w:rsidRDefault="00615369" w:rsidP="00615369">
      <w:pPr>
        <w:rPr>
          <w:rFonts w:ascii="Arial Black" w:eastAsia="Times New Roman" w:hAnsi="Arial Black" w:cs="Arial"/>
          <w:b/>
          <w:sz w:val="10"/>
          <w:szCs w:val="28"/>
        </w:rPr>
      </w:pPr>
    </w:p>
    <w:p w14:paraId="6D322AB2" w14:textId="7453062B" w:rsidR="00C959E2" w:rsidRPr="008A2FB8" w:rsidRDefault="0066025C" w:rsidP="008A2FB8">
      <w:pPr>
        <w:pStyle w:val="Heading1"/>
        <w:ind w:left="0"/>
        <w:rPr>
          <w:rFonts w:ascii="Arial Black" w:hAnsi="Arial Black"/>
          <w:sz w:val="28"/>
        </w:rPr>
      </w:pPr>
      <w:bookmarkStart w:id="0" w:name="_GoBack"/>
      <w:r w:rsidRPr="008A2FB8">
        <w:rPr>
          <w:rFonts w:ascii="Arial Black" w:hAnsi="Arial Black"/>
          <w:sz w:val="28"/>
        </w:rPr>
        <w:t>Cyclical Program Review Committee (CPRC)</w:t>
      </w:r>
    </w:p>
    <w:p w14:paraId="389CE161" w14:textId="6AEA4406" w:rsidR="00C959E2" w:rsidRPr="008A2FB8" w:rsidRDefault="0066025C" w:rsidP="008A2FB8">
      <w:pPr>
        <w:pStyle w:val="Heading1"/>
        <w:ind w:left="0"/>
        <w:rPr>
          <w:rFonts w:ascii="Arial Black" w:hAnsi="Arial Black"/>
          <w:sz w:val="28"/>
        </w:rPr>
      </w:pPr>
      <w:r w:rsidRPr="008A2FB8">
        <w:rPr>
          <w:rFonts w:ascii="Arial Black" w:hAnsi="Arial Black"/>
          <w:sz w:val="28"/>
        </w:rPr>
        <w:t>Final Assessment Report &amp; Implementation Plan</w:t>
      </w:r>
    </w:p>
    <w:bookmarkEnd w:id="0"/>
    <w:p w14:paraId="757F23AC" w14:textId="56663DBB" w:rsidR="00C959E2" w:rsidRPr="00DD5D55" w:rsidRDefault="0066025C" w:rsidP="00DC3FB9">
      <w:pPr>
        <w:rPr>
          <w:rFonts w:ascii="Arial Black" w:eastAsia="Times New Roman" w:hAnsi="Arial Black" w:cs="Arial"/>
          <w:b/>
          <w:color w:val="3B5F4F"/>
          <w:sz w:val="28"/>
          <w:szCs w:val="28"/>
        </w:rPr>
      </w:pPr>
      <w:r>
        <w:rPr>
          <w:rFonts w:ascii="Arial Black" w:eastAsia="Times New Roman" w:hAnsi="Arial Black" w:cs="Arial"/>
          <w:b/>
          <w:color w:val="3B5F4F"/>
          <w:sz w:val="28"/>
          <w:szCs w:val="28"/>
        </w:rPr>
        <w:t xml:space="preserve">Nursing </w:t>
      </w:r>
      <w:proofErr w:type="spellStart"/>
      <w:r>
        <w:rPr>
          <w:rFonts w:ascii="Arial Black" w:eastAsia="Times New Roman" w:hAnsi="Arial Black" w:cs="Arial"/>
          <w:b/>
          <w:color w:val="3B5F4F"/>
          <w:sz w:val="28"/>
          <w:szCs w:val="28"/>
        </w:rPr>
        <w:t>BScN</w:t>
      </w:r>
      <w:proofErr w:type="spellEnd"/>
    </w:p>
    <w:p w14:paraId="29886ABB" w14:textId="77777777" w:rsidR="00C959E2" w:rsidRPr="008A2FB8" w:rsidRDefault="00C959E2" w:rsidP="00DD57F3">
      <w:pPr>
        <w:rPr>
          <w:rFonts w:eastAsia="Times New Roman" w:cs="Arial"/>
          <w:b/>
          <w:color w:val="538135" w:themeColor="accent6" w:themeShade="BF"/>
          <w:sz w:val="1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DD57F3" w14:paraId="3A3AC0AB" w14:textId="77777777" w:rsidTr="009A69C2">
        <w:tc>
          <w:tcPr>
            <w:tcW w:w="3780" w:type="dxa"/>
            <w:shd w:val="clear" w:color="auto" w:fill="BFBFBF" w:themeFill="background1" w:themeFillShade="BF"/>
          </w:tcPr>
          <w:p w14:paraId="71735B7A" w14:textId="0DF473D1" w:rsidR="00C959E2" w:rsidRPr="00DD57F3" w:rsidRDefault="0066025C" w:rsidP="00DD57F3">
            <w:pPr>
              <w:tabs>
                <w:tab w:val="left" w:pos="3969"/>
              </w:tabs>
              <w:rPr>
                <w:rFonts w:eastAsia="Times New Roman" w:cs="Arial"/>
                <w:b/>
                <w:sz w:val="24"/>
                <w:szCs w:val="24"/>
              </w:rPr>
            </w:pPr>
            <w:r w:rsidRPr="00DD57F3">
              <w:rPr>
                <w:rFonts w:eastAsia="Times New Roman" w:cs="Arial"/>
                <w:b/>
                <w:sz w:val="24"/>
                <w:szCs w:val="24"/>
              </w:rPr>
              <w:t>Degree Programs Being Reviewed</w:t>
            </w:r>
          </w:p>
        </w:tc>
        <w:tc>
          <w:tcPr>
            <w:tcW w:w="6426" w:type="dxa"/>
            <w:shd w:val="clear" w:color="auto" w:fill="auto"/>
          </w:tcPr>
          <w:p w14:paraId="71894576" w14:textId="2235A107" w:rsidR="007A790C" w:rsidRPr="00793062" w:rsidRDefault="0063346D" w:rsidP="0046318D">
            <w:pPr>
              <w:tabs>
                <w:tab w:val="left" w:pos="3969"/>
              </w:tabs>
              <w:rPr>
                <w:rFonts w:eastAsia="Times New Roman" w:cs="Arial"/>
                <w:b/>
                <w:sz w:val="24"/>
                <w:szCs w:val="24"/>
              </w:rPr>
            </w:pPr>
            <w:proofErr w:type="spellStart"/>
            <w:r>
              <w:rPr>
                <w:rFonts w:eastAsia="Times New Roman" w:cs="Arial"/>
                <w:b/>
                <w:sz w:val="24"/>
                <w:szCs w:val="24"/>
              </w:rPr>
              <w:t>BScN</w:t>
            </w:r>
            <w:proofErr w:type="spellEnd"/>
            <w:r>
              <w:rPr>
                <w:rFonts w:eastAsia="Times New Roman" w:cs="Arial"/>
                <w:b/>
                <w:sz w:val="24"/>
                <w:szCs w:val="24"/>
              </w:rPr>
              <w:t xml:space="preserve"> Nursing</w:t>
            </w:r>
          </w:p>
        </w:tc>
      </w:tr>
      <w:tr w:rsidR="00C959E2" w:rsidRPr="00DD57F3" w14:paraId="2F68C012" w14:textId="77777777" w:rsidTr="009A69C2">
        <w:tc>
          <w:tcPr>
            <w:tcW w:w="3780" w:type="dxa"/>
            <w:shd w:val="clear" w:color="auto" w:fill="BFBFBF" w:themeFill="background1" w:themeFillShade="BF"/>
          </w:tcPr>
          <w:p w14:paraId="7AFE433F" w14:textId="3DD59B48" w:rsidR="00C959E2" w:rsidRPr="00DD57F3" w:rsidRDefault="0066025C" w:rsidP="00DD57F3">
            <w:pPr>
              <w:tabs>
                <w:tab w:val="left" w:pos="3969"/>
              </w:tabs>
              <w:rPr>
                <w:rFonts w:eastAsia="Times New Roman" w:cs="Arial"/>
                <w:b/>
                <w:sz w:val="24"/>
                <w:szCs w:val="24"/>
              </w:rPr>
            </w:pPr>
            <w:r w:rsidRPr="00DD57F3">
              <w:rPr>
                <w:rFonts w:eastAsia="Times New Roman" w:cs="Arial"/>
                <w:b/>
                <w:sz w:val="24"/>
                <w:szCs w:val="24"/>
              </w:rPr>
              <w:t>External Reviewers</w:t>
            </w:r>
          </w:p>
        </w:tc>
        <w:tc>
          <w:tcPr>
            <w:tcW w:w="6426" w:type="dxa"/>
            <w:shd w:val="clear" w:color="auto" w:fill="auto"/>
          </w:tcPr>
          <w:p w14:paraId="0EDFF79E" w14:textId="68AA7146" w:rsidR="007A790C" w:rsidRDefault="0063346D" w:rsidP="00793062">
            <w:pPr>
              <w:tabs>
                <w:tab w:val="left" w:pos="3969"/>
              </w:tabs>
              <w:rPr>
                <w:rFonts w:eastAsia="Times New Roman" w:cs="Arial"/>
                <w:b/>
                <w:sz w:val="24"/>
                <w:szCs w:val="24"/>
              </w:rPr>
            </w:pPr>
            <w:r>
              <w:rPr>
                <w:rFonts w:eastAsia="Times New Roman" w:cs="Arial"/>
                <w:b/>
                <w:sz w:val="24"/>
                <w:szCs w:val="24"/>
              </w:rPr>
              <w:t>Dr. Glenna Knutson, Lakehead University</w:t>
            </w:r>
          </w:p>
          <w:p w14:paraId="6DC8720E" w14:textId="51CAD80B" w:rsidR="0063346D" w:rsidRPr="00DD57F3" w:rsidRDefault="0063346D" w:rsidP="00793062">
            <w:pPr>
              <w:tabs>
                <w:tab w:val="left" w:pos="3969"/>
              </w:tabs>
              <w:rPr>
                <w:rFonts w:eastAsia="Times New Roman" w:cs="Arial"/>
                <w:b/>
                <w:sz w:val="24"/>
                <w:szCs w:val="24"/>
              </w:rPr>
            </w:pPr>
            <w:r>
              <w:rPr>
                <w:rFonts w:eastAsia="Times New Roman" w:cs="Arial"/>
                <w:b/>
                <w:sz w:val="24"/>
                <w:szCs w:val="24"/>
              </w:rPr>
              <w:t>Sr. Nancy Walton, Ryerson University</w:t>
            </w:r>
          </w:p>
          <w:p w14:paraId="412B264A" w14:textId="77777777" w:rsidR="00923127" w:rsidRPr="008A2FB8" w:rsidRDefault="00923127" w:rsidP="00793062">
            <w:pPr>
              <w:tabs>
                <w:tab w:val="left" w:pos="3969"/>
              </w:tabs>
              <w:ind w:left="249"/>
              <w:rPr>
                <w:rFonts w:eastAsia="Times New Roman" w:cs="Arial"/>
                <w:b/>
                <w:sz w:val="16"/>
                <w:szCs w:val="24"/>
              </w:rPr>
            </w:pPr>
          </w:p>
        </w:tc>
      </w:tr>
      <w:tr w:rsidR="00C959E2" w:rsidRPr="00DD57F3" w14:paraId="7C83975F" w14:textId="77777777" w:rsidTr="009A69C2">
        <w:tc>
          <w:tcPr>
            <w:tcW w:w="3780" w:type="dxa"/>
            <w:shd w:val="clear" w:color="auto" w:fill="BFBFBF" w:themeFill="background1" w:themeFillShade="BF"/>
          </w:tcPr>
          <w:p w14:paraId="609D4E8D" w14:textId="572A1473" w:rsidR="00C959E2" w:rsidRPr="00DD57F3" w:rsidRDefault="0066025C" w:rsidP="00DD57F3">
            <w:pPr>
              <w:tabs>
                <w:tab w:val="left" w:pos="3969"/>
              </w:tabs>
              <w:rPr>
                <w:rFonts w:eastAsia="Times New Roman" w:cs="Arial"/>
                <w:b/>
                <w:sz w:val="24"/>
                <w:szCs w:val="24"/>
              </w:rPr>
            </w:pPr>
            <w:r w:rsidRPr="00DD57F3">
              <w:rPr>
                <w:rFonts w:eastAsia="Times New Roman" w:cs="Arial"/>
                <w:b/>
                <w:sz w:val="24"/>
                <w:szCs w:val="24"/>
              </w:rPr>
              <w:t>Internal Representative</w:t>
            </w:r>
          </w:p>
        </w:tc>
        <w:tc>
          <w:tcPr>
            <w:tcW w:w="6426" w:type="dxa"/>
            <w:shd w:val="clear" w:color="auto" w:fill="auto"/>
          </w:tcPr>
          <w:p w14:paraId="0DDB532A" w14:textId="3C86FD5D" w:rsidR="001A370B" w:rsidRDefault="0063346D" w:rsidP="0046318D">
            <w:pPr>
              <w:tabs>
                <w:tab w:val="left" w:pos="3969"/>
              </w:tabs>
              <w:rPr>
                <w:rFonts w:eastAsia="Times New Roman" w:cs="Arial"/>
                <w:b/>
                <w:sz w:val="24"/>
                <w:szCs w:val="24"/>
              </w:rPr>
            </w:pPr>
            <w:r>
              <w:rPr>
                <w:rFonts w:eastAsia="Times New Roman" w:cs="Arial"/>
                <w:b/>
                <w:sz w:val="24"/>
                <w:szCs w:val="24"/>
              </w:rPr>
              <w:t>Dr. Blair Niblett</w:t>
            </w:r>
            <w:r w:rsidR="009972A5">
              <w:rPr>
                <w:rFonts w:eastAsia="Times New Roman" w:cs="Arial"/>
                <w:b/>
                <w:sz w:val="24"/>
                <w:szCs w:val="24"/>
              </w:rPr>
              <w:t>,</w:t>
            </w:r>
            <w:r>
              <w:rPr>
                <w:rFonts w:eastAsia="Times New Roman" w:cs="Arial"/>
                <w:b/>
                <w:sz w:val="24"/>
                <w:szCs w:val="24"/>
              </w:rPr>
              <w:t xml:space="preserve"> School of Education</w:t>
            </w:r>
            <w:r w:rsidR="00167154">
              <w:rPr>
                <w:rFonts w:eastAsia="Times New Roman" w:cs="Arial"/>
                <w:b/>
                <w:sz w:val="24"/>
                <w:szCs w:val="24"/>
              </w:rPr>
              <w:t>, Trent University</w:t>
            </w:r>
          </w:p>
          <w:p w14:paraId="321220DD" w14:textId="77777777" w:rsidR="0046318D" w:rsidRPr="008A2FB8" w:rsidRDefault="0046318D" w:rsidP="0046318D">
            <w:pPr>
              <w:tabs>
                <w:tab w:val="left" w:pos="3969"/>
              </w:tabs>
              <w:rPr>
                <w:rFonts w:eastAsia="Times New Roman" w:cs="Arial"/>
                <w:b/>
                <w:sz w:val="16"/>
                <w:szCs w:val="24"/>
              </w:rPr>
            </w:pPr>
          </w:p>
        </w:tc>
      </w:tr>
      <w:tr w:rsidR="00C959E2" w:rsidRPr="00DD57F3" w14:paraId="0BAFF723" w14:textId="77777777" w:rsidTr="009A69C2">
        <w:tc>
          <w:tcPr>
            <w:tcW w:w="3780" w:type="dxa"/>
            <w:shd w:val="clear" w:color="auto" w:fill="BFBFBF" w:themeFill="background1" w:themeFillShade="BF"/>
          </w:tcPr>
          <w:p w14:paraId="5F531697" w14:textId="48A502E4" w:rsidR="00C959E2" w:rsidRPr="00DD57F3" w:rsidRDefault="0066025C" w:rsidP="00DD57F3">
            <w:pPr>
              <w:tabs>
                <w:tab w:val="left" w:pos="3969"/>
              </w:tabs>
              <w:rPr>
                <w:rFonts w:eastAsia="Times New Roman" w:cs="Arial"/>
                <w:b/>
                <w:sz w:val="24"/>
                <w:szCs w:val="24"/>
              </w:rPr>
            </w:pPr>
            <w:r>
              <w:rPr>
                <w:rFonts w:eastAsia="Times New Roman" w:cs="Arial"/>
                <w:b/>
                <w:sz w:val="24"/>
                <w:szCs w:val="24"/>
              </w:rPr>
              <w:t>Year o</w:t>
            </w:r>
            <w:r w:rsidRPr="00DD57F3">
              <w:rPr>
                <w:rFonts w:eastAsia="Times New Roman" w:cs="Arial"/>
                <w:b/>
                <w:sz w:val="24"/>
                <w:szCs w:val="24"/>
              </w:rPr>
              <w:t>f Review</w:t>
            </w:r>
          </w:p>
        </w:tc>
        <w:tc>
          <w:tcPr>
            <w:tcW w:w="6426" w:type="dxa"/>
            <w:shd w:val="clear" w:color="auto" w:fill="auto"/>
          </w:tcPr>
          <w:p w14:paraId="11967B18" w14:textId="759F0C4E" w:rsidR="00C959E2" w:rsidRPr="00DD57F3" w:rsidRDefault="0063346D" w:rsidP="00DD57F3">
            <w:pPr>
              <w:tabs>
                <w:tab w:val="left" w:pos="3969"/>
              </w:tabs>
              <w:rPr>
                <w:rFonts w:eastAsia="Times New Roman" w:cs="Arial"/>
                <w:b/>
                <w:sz w:val="24"/>
                <w:szCs w:val="24"/>
              </w:rPr>
            </w:pPr>
            <w:r>
              <w:rPr>
                <w:rFonts w:eastAsia="Times New Roman" w:cs="Arial"/>
                <w:b/>
                <w:sz w:val="24"/>
                <w:szCs w:val="24"/>
              </w:rPr>
              <w:t>2018-2019</w:t>
            </w:r>
          </w:p>
          <w:p w14:paraId="54FD1232" w14:textId="77777777" w:rsidR="00C959E2" w:rsidRPr="008A2FB8" w:rsidRDefault="00C959E2" w:rsidP="00DD57F3">
            <w:pPr>
              <w:tabs>
                <w:tab w:val="left" w:pos="3969"/>
              </w:tabs>
              <w:rPr>
                <w:rFonts w:eastAsia="Times New Roman" w:cs="Arial"/>
                <w:b/>
                <w:sz w:val="14"/>
                <w:szCs w:val="24"/>
              </w:rPr>
            </w:pPr>
          </w:p>
        </w:tc>
      </w:tr>
      <w:tr w:rsidR="00C959E2" w:rsidRPr="00DD57F3" w14:paraId="14AA5685" w14:textId="77777777" w:rsidTr="009A69C2">
        <w:tc>
          <w:tcPr>
            <w:tcW w:w="3780" w:type="dxa"/>
            <w:shd w:val="clear" w:color="auto" w:fill="BFBFBF" w:themeFill="background1" w:themeFillShade="BF"/>
          </w:tcPr>
          <w:p w14:paraId="78A8AD90" w14:textId="7867E060" w:rsidR="00C959E2" w:rsidRPr="00DD57F3" w:rsidRDefault="0066025C" w:rsidP="00DD57F3">
            <w:pPr>
              <w:tabs>
                <w:tab w:val="left" w:pos="3969"/>
              </w:tabs>
              <w:rPr>
                <w:rFonts w:eastAsia="Times New Roman" w:cs="Arial"/>
                <w:b/>
                <w:sz w:val="24"/>
                <w:szCs w:val="24"/>
              </w:rPr>
            </w:pPr>
            <w:r>
              <w:rPr>
                <w:rFonts w:eastAsia="Times New Roman" w:cs="Arial"/>
                <w:b/>
                <w:sz w:val="24"/>
                <w:szCs w:val="24"/>
              </w:rPr>
              <w:t>Date o</w:t>
            </w:r>
            <w:r w:rsidRPr="00DD57F3">
              <w:rPr>
                <w:rFonts w:eastAsia="Times New Roman" w:cs="Arial"/>
                <w:b/>
                <w:sz w:val="24"/>
                <w:szCs w:val="24"/>
              </w:rPr>
              <w:t>f Site Visit</w:t>
            </w:r>
          </w:p>
        </w:tc>
        <w:tc>
          <w:tcPr>
            <w:tcW w:w="6426" w:type="dxa"/>
            <w:shd w:val="clear" w:color="auto" w:fill="auto"/>
          </w:tcPr>
          <w:p w14:paraId="7A1761D3" w14:textId="56B11671" w:rsidR="00C959E2" w:rsidRPr="00DD57F3" w:rsidRDefault="0063346D" w:rsidP="00DD57F3">
            <w:pPr>
              <w:tabs>
                <w:tab w:val="left" w:pos="3969"/>
              </w:tabs>
              <w:rPr>
                <w:rFonts w:eastAsia="Times New Roman" w:cs="Arial"/>
                <w:b/>
                <w:sz w:val="24"/>
                <w:szCs w:val="24"/>
              </w:rPr>
            </w:pPr>
            <w:r>
              <w:rPr>
                <w:rFonts w:eastAsia="Times New Roman" w:cs="Arial"/>
                <w:b/>
                <w:sz w:val="24"/>
                <w:szCs w:val="24"/>
              </w:rPr>
              <w:t>March 6</w:t>
            </w:r>
            <w:r w:rsidR="009A69C2">
              <w:rPr>
                <w:rFonts w:eastAsia="Times New Roman" w:cs="Arial"/>
                <w:b/>
                <w:sz w:val="24"/>
                <w:szCs w:val="24"/>
                <w:vertAlign w:val="superscript"/>
              </w:rPr>
              <w:t xml:space="preserve"> </w:t>
            </w:r>
            <w:r>
              <w:rPr>
                <w:rFonts w:eastAsia="Times New Roman" w:cs="Arial"/>
                <w:b/>
                <w:sz w:val="24"/>
                <w:szCs w:val="24"/>
              </w:rPr>
              <w:t>&amp; 7, 2019</w:t>
            </w:r>
          </w:p>
          <w:p w14:paraId="6E10C6DF" w14:textId="77777777" w:rsidR="00C959E2" w:rsidRPr="008A2FB8" w:rsidRDefault="00C959E2" w:rsidP="00DD57F3">
            <w:pPr>
              <w:tabs>
                <w:tab w:val="left" w:pos="3969"/>
              </w:tabs>
              <w:rPr>
                <w:rFonts w:eastAsia="Times New Roman" w:cs="Arial"/>
                <w:b/>
                <w:sz w:val="14"/>
                <w:szCs w:val="24"/>
              </w:rPr>
            </w:pPr>
          </w:p>
        </w:tc>
      </w:tr>
      <w:tr w:rsidR="00C959E2" w:rsidRPr="00DD57F3" w14:paraId="67141443" w14:textId="77777777" w:rsidTr="009A69C2">
        <w:tc>
          <w:tcPr>
            <w:tcW w:w="3780" w:type="dxa"/>
            <w:shd w:val="clear" w:color="auto" w:fill="BFBFBF" w:themeFill="background1" w:themeFillShade="BF"/>
          </w:tcPr>
          <w:p w14:paraId="65C5E962" w14:textId="47550A91" w:rsidR="00923127" w:rsidRPr="00DD57F3" w:rsidRDefault="0066025C" w:rsidP="00DD57F3">
            <w:pPr>
              <w:tabs>
                <w:tab w:val="left" w:pos="3969"/>
              </w:tabs>
              <w:rPr>
                <w:rFonts w:eastAsia="Times New Roman" w:cs="Arial"/>
                <w:b/>
                <w:sz w:val="24"/>
                <w:szCs w:val="24"/>
              </w:rPr>
            </w:pPr>
            <w:r w:rsidRPr="00DD57F3">
              <w:rPr>
                <w:rFonts w:eastAsia="Times New Roman" w:cs="Arial"/>
                <w:b/>
                <w:sz w:val="24"/>
                <w:szCs w:val="24"/>
              </w:rPr>
              <w:t>Due Dat</w:t>
            </w:r>
            <w:r>
              <w:rPr>
                <w:rFonts w:eastAsia="Times New Roman" w:cs="Arial"/>
                <w:b/>
                <w:sz w:val="24"/>
                <w:szCs w:val="24"/>
              </w:rPr>
              <w:t>e for Implementation Report by NURS</w:t>
            </w:r>
          </w:p>
        </w:tc>
        <w:tc>
          <w:tcPr>
            <w:tcW w:w="6426" w:type="dxa"/>
            <w:shd w:val="clear" w:color="auto" w:fill="auto"/>
          </w:tcPr>
          <w:p w14:paraId="74972FDD" w14:textId="20F0049D" w:rsidR="00C959E2" w:rsidRPr="00DD57F3" w:rsidRDefault="00DA3472" w:rsidP="00DD57F3">
            <w:pPr>
              <w:tabs>
                <w:tab w:val="left" w:pos="3969"/>
              </w:tabs>
              <w:rPr>
                <w:rFonts w:eastAsia="Times New Roman" w:cs="Arial"/>
                <w:b/>
                <w:sz w:val="24"/>
                <w:szCs w:val="24"/>
              </w:rPr>
            </w:pPr>
            <w:r w:rsidRPr="00504629">
              <w:rPr>
                <w:rFonts w:eastAsia="Times New Roman" w:cs="Arial"/>
                <w:b/>
                <w:sz w:val="24"/>
                <w:szCs w:val="24"/>
              </w:rPr>
              <w:t>October</w:t>
            </w:r>
            <w:r w:rsidR="0063346D" w:rsidRPr="00504629">
              <w:rPr>
                <w:rFonts w:eastAsia="Times New Roman" w:cs="Arial"/>
                <w:b/>
                <w:sz w:val="24"/>
                <w:szCs w:val="24"/>
              </w:rPr>
              <w:t xml:space="preserve"> 1, 2020</w:t>
            </w:r>
          </w:p>
        </w:tc>
      </w:tr>
      <w:tr w:rsidR="00C959E2" w:rsidRPr="00DD57F3" w14:paraId="781E370A" w14:textId="77777777" w:rsidTr="009A69C2">
        <w:tc>
          <w:tcPr>
            <w:tcW w:w="3780" w:type="dxa"/>
            <w:shd w:val="clear" w:color="auto" w:fill="BFBFBF" w:themeFill="background1" w:themeFillShade="BF"/>
          </w:tcPr>
          <w:p w14:paraId="085A4C99" w14:textId="2D691A7D" w:rsidR="00C959E2" w:rsidRPr="00DD57F3" w:rsidRDefault="0066025C" w:rsidP="00DD57F3">
            <w:pPr>
              <w:tabs>
                <w:tab w:val="left" w:pos="3969"/>
              </w:tabs>
              <w:rPr>
                <w:rFonts w:eastAsia="Times New Roman" w:cs="Arial"/>
                <w:b/>
                <w:sz w:val="24"/>
                <w:szCs w:val="24"/>
              </w:rPr>
            </w:pPr>
            <w:r>
              <w:rPr>
                <w:rFonts w:eastAsia="Times New Roman" w:cs="Arial"/>
                <w:b/>
                <w:sz w:val="24"/>
                <w:szCs w:val="24"/>
              </w:rPr>
              <w:t>Date o</w:t>
            </w:r>
            <w:r w:rsidRPr="00DD57F3">
              <w:rPr>
                <w:rFonts w:eastAsia="Times New Roman" w:cs="Arial"/>
                <w:b/>
                <w:sz w:val="24"/>
                <w:szCs w:val="24"/>
              </w:rPr>
              <w:t>f Next Cyclical Review</w:t>
            </w:r>
          </w:p>
          <w:p w14:paraId="0B393F89" w14:textId="77777777" w:rsidR="00C959E2" w:rsidRPr="008A2FB8" w:rsidRDefault="00C959E2" w:rsidP="00DD57F3">
            <w:pPr>
              <w:tabs>
                <w:tab w:val="left" w:pos="3969"/>
              </w:tabs>
              <w:rPr>
                <w:rFonts w:eastAsia="Times New Roman" w:cs="Arial"/>
                <w:b/>
                <w:sz w:val="14"/>
                <w:szCs w:val="24"/>
              </w:rPr>
            </w:pPr>
          </w:p>
        </w:tc>
        <w:tc>
          <w:tcPr>
            <w:tcW w:w="6426" w:type="dxa"/>
            <w:shd w:val="clear" w:color="auto" w:fill="auto"/>
          </w:tcPr>
          <w:p w14:paraId="2E4715DB" w14:textId="1C7FB018"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202</w:t>
            </w:r>
            <w:r w:rsidR="00117AAA">
              <w:rPr>
                <w:rFonts w:eastAsia="Times New Roman" w:cs="Arial"/>
                <w:b/>
                <w:sz w:val="24"/>
                <w:szCs w:val="24"/>
              </w:rPr>
              <w:t>6-2027</w:t>
            </w:r>
          </w:p>
        </w:tc>
      </w:tr>
      <w:tr w:rsidR="00C959E2" w:rsidRPr="00DD57F3" w14:paraId="3EC45DB3" w14:textId="77777777" w:rsidTr="009A69C2">
        <w:tc>
          <w:tcPr>
            <w:tcW w:w="3780" w:type="dxa"/>
            <w:shd w:val="clear" w:color="auto" w:fill="BFBFBF" w:themeFill="background1" w:themeFillShade="BF"/>
          </w:tcPr>
          <w:p w14:paraId="3A327B96" w14:textId="23DB3550" w:rsidR="00C959E2" w:rsidRPr="00DD57F3" w:rsidRDefault="0066025C" w:rsidP="00DD57F3">
            <w:pPr>
              <w:tabs>
                <w:tab w:val="left" w:pos="3969"/>
              </w:tabs>
              <w:rPr>
                <w:rFonts w:eastAsia="Times New Roman" w:cs="Arial"/>
                <w:b/>
                <w:sz w:val="24"/>
                <w:szCs w:val="24"/>
              </w:rPr>
            </w:pPr>
            <w:r>
              <w:rPr>
                <w:rFonts w:eastAsia="Times New Roman" w:cs="Arial"/>
                <w:b/>
                <w:sz w:val="24"/>
                <w:szCs w:val="24"/>
              </w:rPr>
              <w:t>Date Prepared b</w:t>
            </w:r>
            <w:r w:rsidRPr="00DD57F3">
              <w:rPr>
                <w:rFonts w:eastAsia="Times New Roman" w:cs="Arial"/>
                <w:b/>
                <w:sz w:val="24"/>
                <w:szCs w:val="24"/>
              </w:rPr>
              <w:t>y C</w:t>
            </w:r>
            <w:r>
              <w:rPr>
                <w:rFonts w:eastAsia="Times New Roman" w:cs="Arial"/>
                <w:b/>
                <w:sz w:val="24"/>
                <w:szCs w:val="24"/>
              </w:rPr>
              <w:t>PRC</w:t>
            </w:r>
          </w:p>
          <w:p w14:paraId="3DBBF432" w14:textId="77777777" w:rsidR="00C959E2" w:rsidRPr="008A2FB8" w:rsidRDefault="00C959E2" w:rsidP="00DD57F3">
            <w:pPr>
              <w:tabs>
                <w:tab w:val="left" w:pos="3969"/>
              </w:tabs>
              <w:rPr>
                <w:rFonts w:eastAsia="Times New Roman" w:cs="Arial"/>
                <w:b/>
                <w:sz w:val="14"/>
                <w:szCs w:val="24"/>
              </w:rPr>
            </w:pPr>
          </w:p>
        </w:tc>
        <w:tc>
          <w:tcPr>
            <w:tcW w:w="6426" w:type="dxa"/>
            <w:shd w:val="clear" w:color="auto" w:fill="auto"/>
          </w:tcPr>
          <w:p w14:paraId="6E93FFAC" w14:textId="64EBB81A" w:rsidR="00C959E2" w:rsidRPr="00DD57F3" w:rsidRDefault="00504629" w:rsidP="00DD57F3">
            <w:pPr>
              <w:tabs>
                <w:tab w:val="left" w:pos="3969"/>
              </w:tabs>
              <w:rPr>
                <w:rFonts w:eastAsia="Times New Roman" w:cs="Arial"/>
                <w:b/>
                <w:sz w:val="24"/>
                <w:szCs w:val="24"/>
              </w:rPr>
            </w:pPr>
            <w:r>
              <w:rPr>
                <w:rFonts w:eastAsia="Times New Roman" w:cs="Arial"/>
                <w:b/>
                <w:sz w:val="24"/>
                <w:szCs w:val="24"/>
              </w:rPr>
              <w:t>September 18, 2019</w:t>
            </w:r>
          </w:p>
        </w:tc>
      </w:tr>
      <w:tr w:rsidR="00C959E2" w:rsidRPr="00DD57F3" w14:paraId="3D39157C" w14:textId="77777777" w:rsidTr="009A69C2">
        <w:tc>
          <w:tcPr>
            <w:tcW w:w="3780" w:type="dxa"/>
            <w:shd w:val="clear" w:color="auto" w:fill="BFBFBF" w:themeFill="background1" w:themeFillShade="BF"/>
          </w:tcPr>
          <w:p w14:paraId="0E4B6B61" w14:textId="4153C274" w:rsidR="00C959E2" w:rsidRPr="00DD57F3" w:rsidRDefault="0066025C" w:rsidP="0066025C">
            <w:pPr>
              <w:tabs>
                <w:tab w:val="left" w:pos="3969"/>
              </w:tabs>
              <w:rPr>
                <w:rFonts w:eastAsia="Times New Roman" w:cs="Arial"/>
                <w:b/>
                <w:sz w:val="24"/>
                <w:szCs w:val="24"/>
              </w:rPr>
            </w:pPr>
            <w:r w:rsidRPr="00DD57F3">
              <w:rPr>
                <w:rFonts w:eastAsia="Times New Roman" w:cs="Arial"/>
                <w:b/>
                <w:sz w:val="24"/>
                <w:szCs w:val="24"/>
              </w:rPr>
              <w:t xml:space="preserve">Date Approved </w:t>
            </w:r>
            <w:r>
              <w:rPr>
                <w:rFonts w:eastAsia="Times New Roman" w:cs="Arial"/>
                <w:b/>
                <w:sz w:val="24"/>
                <w:szCs w:val="24"/>
              </w:rPr>
              <w:t>by Provost &amp; VP</w:t>
            </w:r>
            <w:r w:rsidRPr="00DD57F3">
              <w:rPr>
                <w:rFonts w:eastAsia="Times New Roman" w:cs="Arial"/>
                <w:b/>
                <w:sz w:val="24"/>
                <w:szCs w:val="24"/>
              </w:rPr>
              <w:t xml:space="preserve"> Academic</w:t>
            </w:r>
          </w:p>
        </w:tc>
        <w:tc>
          <w:tcPr>
            <w:tcW w:w="6426" w:type="dxa"/>
            <w:shd w:val="clear" w:color="auto" w:fill="auto"/>
          </w:tcPr>
          <w:p w14:paraId="7E63296C" w14:textId="7958519B" w:rsidR="00C959E2" w:rsidRPr="00DD57F3" w:rsidRDefault="00117AAA" w:rsidP="00DD57F3">
            <w:pPr>
              <w:tabs>
                <w:tab w:val="left" w:pos="3969"/>
              </w:tabs>
              <w:rPr>
                <w:rFonts w:eastAsia="Times New Roman" w:cs="Arial"/>
                <w:b/>
                <w:sz w:val="24"/>
                <w:szCs w:val="24"/>
              </w:rPr>
            </w:pPr>
            <w:r>
              <w:rPr>
                <w:rFonts w:eastAsia="Times New Roman" w:cs="Arial"/>
                <w:b/>
                <w:sz w:val="24"/>
                <w:szCs w:val="24"/>
              </w:rPr>
              <w:t>October 9, 2019</w:t>
            </w:r>
          </w:p>
        </w:tc>
      </w:tr>
      <w:tr w:rsidR="000F34F8" w:rsidRPr="00DD57F3" w14:paraId="6C2C448C" w14:textId="77777777" w:rsidTr="00615369">
        <w:trPr>
          <w:trHeight w:val="1007"/>
        </w:trPr>
        <w:tc>
          <w:tcPr>
            <w:tcW w:w="3780" w:type="dxa"/>
            <w:shd w:val="clear" w:color="auto" w:fill="BFBFBF" w:themeFill="background1" w:themeFillShade="BF"/>
          </w:tcPr>
          <w:p w14:paraId="393F2582" w14:textId="1BED89E3" w:rsidR="000F34F8" w:rsidRPr="00DD57F3" w:rsidRDefault="0066025C" w:rsidP="00DD57F3">
            <w:pPr>
              <w:tabs>
                <w:tab w:val="left" w:pos="3969"/>
              </w:tabs>
              <w:rPr>
                <w:rFonts w:eastAsia="Times New Roman" w:cs="Arial"/>
                <w:b/>
                <w:sz w:val="24"/>
                <w:szCs w:val="24"/>
              </w:rPr>
            </w:pPr>
            <w:r>
              <w:rPr>
                <w:rFonts w:eastAsia="Times New Roman" w:cs="Arial"/>
                <w:b/>
                <w:sz w:val="24"/>
                <w:szCs w:val="24"/>
              </w:rPr>
              <w:t>Signature Of Provost &amp; VP A</w:t>
            </w:r>
            <w:r w:rsidR="00615369">
              <w:rPr>
                <w:rFonts w:eastAsia="Times New Roman" w:cs="Arial"/>
                <w:b/>
                <w:sz w:val="24"/>
                <w:szCs w:val="24"/>
              </w:rPr>
              <w:t>cademic</w:t>
            </w:r>
          </w:p>
        </w:tc>
        <w:tc>
          <w:tcPr>
            <w:tcW w:w="6426" w:type="dxa"/>
            <w:shd w:val="clear" w:color="auto" w:fill="auto"/>
          </w:tcPr>
          <w:p w14:paraId="468EB7C1" w14:textId="48C9978F" w:rsidR="000F34F8" w:rsidRPr="00DD57F3" w:rsidRDefault="00117AAA" w:rsidP="00DD57F3">
            <w:pPr>
              <w:tabs>
                <w:tab w:val="left" w:pos="3969"/>
              </w:tabs>
              <w:rPr>
                <w:rFonts w:eastAsia="Times New Roman" w:cs="Arial"/>
                <w:b/>
                <w:sz w:val="24"/>
                <w:szCs w:val="24"/>
              </w:rPr>
            </w:pPr>
            <w:r>
              <w:rPr>
                <w:rFonts w:eastAsia="Times New Roman" w:cs="Arial"/>
                <w:b/>
                <w:noProof/>
                <w:sz w:val="24"/>
                <w:szCs w:val="24"/>
                <w:lang w:val="en-US"/>
              </w:rPr>
              <w:drawing>
                <wp:inline distT="0" distB="0" distL="0" distR="0" wp14:anchorId="78C82BDA" wp14:editId="44A47EE7">
                  <wp:extent cx="1762125" cy="540689"/>
                  <wp:effectExtent l="0" t="0" r="0" b="0"/>
                  <wp:docPr id="2" name="Picture 2"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ie - Signature - full  name.gif"/>
                          <pic:cNvPicPr/>
                        </pic:nvPicPr>
                        <pic:blipFill rotWithShape="1">
                          <a:blip r:embed="rId9">
                            <a:extLst>
                              <a:ext uri="{28A0092B-C50C-407E-A947-70E740481C1C}">
                                <a14:useLocalDpi xmlns:a14="http://schemas.microsoft.com/office/drawing/2010/main" val="0"/>
                              </a:ext>
                            </a:extLst>
                          </a:blip>
                          <a:srcRect b="24781"/>
                          <a:stretch/>
                        </pic:blipFill>
                        <pic:spPr bwMode="auto">
                          <a:xfrm>
                            <a:off x="0" y="0"/>
                            <a:ext cx="1798958" cy="55199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465788" w14:textId="77777777" w:rsidR="00D00C87" w:rsidRPr="008A2FB8" w:rsidRDefault="00D00C87" w:rsidP="00DD57F3">
      <w:pPr>
        <w:rPr>
          <w:rFonts w:cs="Arial"/>
          <w:sz w:val="16"/>
          <w:szCs w:val="24"/>
        </w:rPr>
      </w:pPr>
    </w:p>
    <w:p w14:paraId="690DA446" w14:textId="58EDA7D0" w:rsidR="00134406" w:rsidRDefault="00134406" w:rsidP="00134406">
      <w:pPr>
        <w:rPr>
          <w:rFonts w:cs="Arial"/>
          <w:sz w:val="24"/>
          <w:szCs w:val="24"/>
        </w:rPr>
      </w:pPr>
      <w:r w:rsidRPr="00134406">
        <w:rPr>
          <w:rFonts w:cs="Arial"/>
          <w:sz w:val="24"/>
          <w:szCs w:val="24"/>
        </w:rPr>
        <w:t xml:space="preserve">The Trent/Fleming School of Nursing emphasizes a holistic approach to healthcare. The </w:t>
      </w:r>
      <w:r>
        <w:rPr>
          <w:rFonts w:cs="Arial"/>
          <w:sz w:val="24"/>
          <w:szCs w:val="24"/>
        </w:rPr>
        <w:t>Program</w:t>
      </w:r>
      <w:r w:rsidRPr="00134406">
        <w:rPr>
          <w:rFonts w:cs="Arial"/>
          <w:sz w:val="24"/>
          <w:szCs w:val="24"/>
        </w:rPr>
        <w:t xml:space="preserve"> prepares skilled nursing professionals with strong scientific knowledge and compassion rooted in the values of professional and social responsibility. </w:t>
      </w:r>
    </w:p>
    <w:p w14:paraId="3FCA0DDF" w14:textId="77777777" w:rsidR="00134406" w:rsidRPr="008A2FB8" w:rsidRDefault="00134406" w:rsidP="00134406">
      <w:pPr>
        <w:rPr>
          <w:rFonts w:cs="Arial"/>
          <w:sz w:val="16"/>
          <w:szCs w:val="24"/>
        </w:rPr>
      </w:pPr>
    </w:p>
    <w:p w14:paraId="6C5D13DB" w14:textId="3ABD5925" w:rsidR="00134406" w:rsidRDefault="00134406" w:rsidP="00134406">
      <w:pPr>
        <w:rPr>
          <w:rFonts w:cs="Arial"/>
          <w:sz w:val="24"/>
          <w:szCs w:val="24"/>
        </w:rPr>
      </w:pPr>
      <w:r w:rsidRPr="00F51174">
        <w:rPr>
          <w:rFonts w:cs="Arial"/>
          <w:sz w:val="24"/>
          <w:szCs w:val="24"/>
        </w:rPr>
        <w:t>Accredited by the Canadian Association of Schools of Nursing, the program spans a variety of nursing contexts. Starting in first year, theory and practice occur simultaneously, and skills are developed through lectures, seminars, case studies, online cou</w:t>
      </w:r>
      <w:r>
        <w:rPr>
          <w:rFonts w:cs="Arial"/>
          <w:sz w:val="24"/>
          <w:szCs w:val="24"/>
        </w:rPr>
        <w:t xml:space="preserve">rsework and using Trent’s </w:t>
      </w:r>
      <w:r w:rsidRPr="00134406">
        <w:rPr>
          <w:rFonts w:cs="Arial"/>
          <w:sz w:val="24"/>
          <w:szCs w:val="24"/>
        </w:rPr>
        <w:t>state-of-th</w:t>
      </w:r>
      <w:r>
        <w:rPr>
          <w:rFonts w:cs="Arial"/>
          <w:sz w:val="24"/>
          <w:szCs w:val="24"/>
        </w:rPr>
        <w:t>e-art clinical learning centre</w:t>
      </w:r>
      <w:r w:rsidRPr="00134406">
        <w:rPr>
          <w:rFonts w:cs="Arial"/>
          <w:sz w:val="24"/>
          <w:szCs w:val="24"/>
        </w:rPr>
        <w:t xml:space="preserve">. </w:t>
      </w:r>
      <w:r>
        <w:rPr>
          <w:rFonts w:cs="Arial"/>
          <w:sz w:val="24"/>
          <w:szCs w:val="24"/>
        </w:rPr>
        <w:t>The Centre features</w:t>
      </w:r>
      <w:r w:rsidRPr="00134406">
        <w:rPr>
          <w:rFonts w:cs="Arial"/>
          <w:sz w:val="24"/>
          <w:szCs w:val="24"/>
        </w:rPr>
        <w:t xml:space="preserve"> a number of low, medium, and high fidelity simulation mannequins, </w:t>
      </w:r>
      <w:r>
        <w:rPr>
          <w:rFonts w:cs="Arial"/>
          <w:sz w:val="24"/>
          <w:szCs w:val="24"/>
        </w:rPr>
        <w:t>giving</w:t>
      </w:r>
      <w:r w:rsidRPr="00134406">
        <w:rPr>
          <w:rFonts w:cs="Arial"/>
          <w:sz w:val="24"/>
          <w:szCs w:val="24"/>
        </w:rPr>
        <w:t xml:space="preserve"> students the opportunity to practice their technical, critical thinking and decision making skills</w:t>
      </w:r>
      <w:r>
        <w:rPr>
          <w:rFonts w:cs="Arial"/>
          <w:sz w:val="24"/>
          <w:szCs w:val="24"/>
        </w:rPr>
        <w:t>.</w:t>
      </w:r>
    </w:p>
    <w:p w14:paraId="2DE75A05" w14:textId="77777777" w:rsidR="00134406" w:rsidRPr="008A2FB8" w:rsidRDefault="00134406" w:rsidP="00134406">
      <w:pPr>
        <w:rPr>
          <w:rFonts w:cs="Arial"/>
          <w:sz w:val="16"/>
          <w:szCs w:val="24"/>
        </w:rPr>
      </w:pPr>
    </w:p>
    <w:p w14:paraId="699A7CE0" w14:textId="43A81ACC" w:rsidR="0066025C" w:rsidRDefault="00134406" w:rsidP="0066025C">
      <w:pPr>
        <w:tabs>
          <w:tab w:val="left" w:pos="450"/>
        </w:tabs>
        <w:rPr>
          <w:rFonts w:cs="Arial"/>
          <w:sz w:val="24"/>
          <w:szCs w:val="24"/>
        </w:rPr>
      </w:pPr>
      <w:r w:rsidRPr="00F51174">
        <w:rPr>
          <w:rFonts w:cs="Arial"/>
          <w:sz w:val="24"/>
          <w:szCs w:val="24"/>
        </w:rPr>
        <w:t>By the final year of study, students will have had the opportunity to practice nursing in a range of hospital and community settings.</w:t>
      </w:r>
      <w:r>
        <w:rPr>
          <w:rFonts w:cs="Arial"/>
          <w:sz w:val="24"/>
          <w:szCs w:val="24"/>
        </w:rPr>
        <w:t xml:space="preserve"> </w:t>
      </w:r>
      <w:r w:rsidRPr="00134406">
        <w:rPr>
          <w:rFonts w:cs="Arial"/>
          <w:sz w:val="24"/>
          <w:szCs w:val="24"/>
        </w:rPr>
        <w:t>Gr</w:t>
      </w:r>
      <w:r>
        <w:rPr>
          <w:rFonts w:cs="Arial"/>
          <w:sz w:val="24"/>
          <w:szCs w:val="24"/>
        </w:rPr>
        <w:t>aduates from the Programs are eligible to apply for registration as</w:t>
      </w:r>
      <w:r w:rsidR="0066025C">
        <w:rPr>
          <w:rFonts w:cs="Arial"/>
          <w:sz w:val="24"/>
          <w:szCs w:val="24"/>
        </w:rPr>
        <w:t xml:space="preserve"> a Registered Nurse in Ontario.</w:t>
      </w:r>
    </w:p>
    <w:p w14:paraId="022AD56A" w14:textId="70AAAEDD" w:rsidR="00134406" w:rsidRPr="001B1D41" w:rsidRDefault="00134406" w:rsidP="0066025C">
      <w:pPr>
        <w:tabs>
          <w:tab w:val="left" w:pos="450"/>
        </w:tabs>
        <w:rPr>
          <w:rFonts w:cs="Arial"/>
          <w:sz w:val="24"/>
          <w:szCs w:val="24"/>
        </w:rPr>
      </w:pPr>
    </w:p>
    <w:p w14:paraId="19FA96EA" w14:textId="133A7B1E" w:rsidR="00C959E2" w:rsidRPr="0066025C" w:rsidRDefault="0066025C" w:rsidP="0066025C">
      <w:pPr>
        <w:pBdr>
          <w:bottom w:val="single" w:sz="2" w:space="1" w:color="auto"/>
        </w:pBdr>
        <w:rPr>
          <w:rFonts w:eastAsia="Times New Roman" w:cstheme="minorHAnsi"/>
          <w:b/>
          <w:color w:val="3B5F4F"/>
          <w:sz w:val="28"/>
          <w:szCs w:val="28"/>
        </w:rPr>
      </w:pPr>
      <w:r>
        <w:rPr>
          <w:rFonts w:eastAsia="Times New Roman" w:cstheme="minorHAnsi"/>
          <w:b/>
          <w:color w:val="3B5F4F"/>
          <w:sz w:val="28"/>
          <w:szCs w:val="28"/>
        </w:rPr>
        <w:lastRenderedPageBreak/>
        <w:t>Summary o</w:t>
      </w:r>
      <w:r w:rsidRPr="0066025C">
        <w:rPr>
          <w:rFonts w:eastAsia="Times New Roman" w:cstheme="minorHAnsi"/>
          <w:b/>
          <w:color w:val="3B5F4F"/>
          <w:sz w:val="28"/>
          <w:szCs w:val="28"/>
        </w:rPr>
        <w:t>f Process</w:t>
      </w:r>
    </w:p>
    <w:p w14:paraId="3D7C5764" w14:textId="77777777" w:rsidR="00C959E2" w:rsidRPr="00957B3F" w:rsidRDefault="00C959E2" w:rsidP="00DD57F3">
      <w:pPr>
        <w:tabs>
          <w:tab w:val="left" w:pos="3969"/>
        </w:tabs>
        <w:rPr>
          <w:rFonts w:eastAsia="Times New Roman" w:cs="Arial"/>
          <w:sz w:val="20"/>
          <w:szCs w:val="20"/>
        </w:rPr>
      </w:pPr>
    </w:p>
    <w:p w14:paraId="66315CA3" w14:textId="35496FCF" w:rsidR="00C959E2" w:rsidRPr="00DA3472" w:rsidRDefault="00C959E2" w:rsidP="00DD57F3">
      <w:pPr>
        <w:autoSpaceDE w:val="0"/>
        <w:autoSpaceDN w:val="0"/>
        <w:adjustRightInd w:val="0"/>
        <w:rPr>
          <w:rFonts w:eastAsia="Times New Roman" w:cs="Arial"/>
          <w:b/>
          <w:sz w:val="24"/>
          <w:szCs w:val="24"/>
        </w:rPr>
      </w:pPr>
      <w:r w:rsidRPr="00DA3472">
        <w:rPr>
          <w:rFonts w:eastAsia="Calibri" w:cs="Arial"/>
          <w:color w:val="000000"/>
          <w:sz w:val="24"/>
          <w:szCs w:val="24"/>
          <w:lang w:val="en-US" w:eastAsia="zh-CN"/>
        </w:rPr>
        <w:t>During the 201</w:t>
      </w:r>
      <w:r w:rsidR="0063346D" w:rsidRPr="00DA3472">
        <w:rPr>
          <w:rFonts w:eastAsia="Calibri" w:cs="Arial"/>
          <w:color w:val="000000"/>
          <w:sz w:val="24"/>
          <w:szCs w:val="24"/>
          <w:lang w:val="en-US" w:eastAsia="zh-CN"/>
        </w:rPr>
        <w:t>8</w:t>
      </w:r>
      <w:r w:rsidRPr="00DA3472">
        <w:rPr>
          <w:rFonts w:eastAsia="Calibri" w:cs="Arial"/>
          <w:color w:val="000000"/>
          <w:sz w:val="24"/>
          <w:szCs w:val="24"/>
          <w:lang w:val="en-US" w:eastAsia="zh-CN"/>
        </w:rPr>
        <w:t>-201</w:t>
      </w:r>
      <w:r w:rsidR="0063346D" w:rsidRPr="00DA3472">
        <w:rPr>
          <w:rFonts w:eastAsia="Calibri" w:cs="Arial"/>
          <w:color w:val="000000"/>
          <w:sz w:val="24"/>
          <w:szCs w:val="24"/>
          <w:lang w:val="en-US" w:eastAsia="zh-CN"/>
        </w:rPr>
        <w:t>9</w:t>
      </w:r>
      <w:r w:rsidRPr="00DA3472">
        <w:rPr>
          <w:rFonts w:eastAsia="Calibri" w:cs="Arial"/>
          <w:color w:val="000000"/>
          <w:sz w:val="24"/>
          <w:szCs w:val="24"/>
          <w:lang w:val="en-US" w:eastAsia="zh-CN"/>
        </w:rPr>
        <w:t xml:space="preserve"> academic year, the </w:t>
      </w:r>
      <w:proofErr w:type="spellStart"/>
      <w:r w:rsidR="0063346D" w:rsidRPr="00DA3472">
        <w:rPr>
          <w:rFonts w:eastAsia="Calibri" w:cs="Arial"/>
          <w:color w:val="000000"/>
          <w:sz w:val="24"/>
          <w:szCs w:val="24"/>
          <w:lang w:val="en-US" w:eastAsia="zh-CN"/>
        </w:rPr>
        <w:t>BScN</w:t>
      </w:r>
      <w:proofErr w:type="spellEnd"/>
      <w:r w:rsidR="0063346D" w:rsidRPr="00DA3472">
        <w:rPr>
          <w:rFonts w:eastAsia="Calibri" w:cs="Arial"/>
          <w:color w:val="000000"/>
          <w:sz w:val="24"/>
          <w:szCs w:val="24"/>
          <w:lang w:val="en-US" w:eastAsia="zh-CN"/>
        </w:rPr>
        <w:t xml:space="preserve"> Nursing</w:t>
      </w:r>
      <w:r w:rsidR="0046318D" w:rsidRPr="00DA3472">
        <w:rPr>
          <w:rFonts w:eastAsia="Calibri" w:cs="Arial"/>
          <w:color w:val="000000"/>
          <w:sz w:val="24"/>
          <w:szCs w:val="24"/>
          <w:lang w:val="en-US" w:eastAsia="zh-CN"/>
        </w:rPr>
        <w:t xml:space="preserve"> program</w:t>
      </w:r>
      <w:r w:rsidR="004E3481" w:rsidRPr="00DA3472">
        <w:rPr>
          <w:rFonts w:eastAsia="Calibri" w:cs="Arial"/>
          <w:color w:val="000000"/>
          <w:sz w:val="24"/>
          <w:szCs w:val="24"/>
          <w:lang w:val="en-US" w:eastAsia="zh-CN"/>
        </w:rPr>
        <w:t xml:space="preserve"> </w:t>
      </w:r>
      <w:r w:rsidRPr="00DA3472">
        <w:rPr>
          <w:rFonts w:eastAsia="Calibri" w:cs="Arial"/>
          <w:color w:val="000000"/>
          <w:sz w:val="24"/>
          <w:szCs w:val="24"/>
          <w:lang w:val="en-US" w:eastAsia="zh-CN"/>
        </w:rPr>
        <w:t>underwent a review.</w:t>
      </w:r>
      <w:r w:rsidRPr="00DA3472">
        <w:rPr>
          <w:rFonts w:eastAsia="Times New Roman" w:cs="Arial"/>
          <w:color w:val="000000"/>
          <w:sz w:val="24"/>
          <w:szCs w:val="24"/>
          <w:lang w:val="en-US"/>
        </w:rPr>
        <w:t xml:space="preserve"> </w:t>
      </w:r>
      <w:r w:rsidRPr="00DA3472">
        <w:rPr>
          <w:rFonts w:eastAsia="Times New Roman" w:cs="Arial"/>
          <w:color w:val="000000"/>
          <w:lang w:val="en-US"/>
        </w:rPr>
        <w:t>Two</w:t>
      </w:r>
      <w:r w:rsidRPr="00DA3472">
        <w:rPr>
          <w:rFonts w:eastAsia="Times New Roman" w:cs="Arial"/>
          <w:color w:val="000000"/>
          <w:sz w:val="24"/>
          <w:szCs w:val="24"/>
          <w:lang w:val="en-US"/>
        </w:rPr>
        <w:t xml:space="preserve"> </w:t>
      </w:r>
      <w:r w:rsidRPr="00DA3472">
        <w:rPr>
          <w:rFonts w:eastAsia="Times New Roman" w:cs="Arial"/>
          <w:noProof/>
          <w:color w:val="000000"/>
          <w:sz w:val="24"/>
          <w:szCs w:val="24"/>
          <w:lang w:val="en-US"/>
        </w:rPr>
        <w:t>arm</w:t>
      </w:r>
      <w:r w:rsidRPr="00DA3472">
        <w:rPr>
          <w:rFonts w:eastAsia="Times New Roman" w:cs="Arial"/>
          <w:color w:val="000000"/>
          <w:sz w:val="24"/>
          <w:szCs w:val="24"/>
          <w:lang w:val="en-US"/>
        </w:rPr>
        <w:t xml:space="preserve">’s-length external reviewers (Dr. </w:t>
      </w:r>
      <w:r w:rsidR="0063346D" w:rsidRPr="00DA3472">
        <w:rPr>
          <w:rFonts w:eastAsia="Times New Roman" w:cs="Arial"/>
          <w:color w:val="000000"/>
          <w:sz w:val="24"/>
          <w:szCs w:val="24"/>
          <w:lang w:val="en-US"/>
        </w:rPr>
        <w:t>Glenna Knutson, Lakehead University</w:t>
      </w:r>
      <w:r w:rsidR="007A790C" w:rsidRPr="00DA3472">
        <w:rPr>
          <w:rFonts w:eastAsia="Times New Roman" w:cs="Arial"/>
          <w:sz w:val="24"/>
          <w:szCs w:val="24"/>
        </w:rPr>
        <w:t xml:space="preserve"> and Dr. </w:t>
      </w:r>
      <w:r w:rsidR="0063346D" w:rsidRPr="00DA3472">
        <w:rPr>
          <w:rFonts w:eastAsia="Times New Roman" w:cs="Arial"/>
          <w:sz w:val="24"/>
          <w:szCs w:val="24"/>
        </w:rPr>
        <w:t>Nancy Walton</w:t>
      </w:r>
      <w:r w:rsidR="004E3481" w:rsidRPr="00DA3472">
        <w:rPr>
          <w:rFonts w:eastAsia="Times New Roman" w:cs="Arial"/>
          <w:sz w:val="24"/>
          <w:szCs w:val="24"/>
        </w:rPr>
        <w:t xml:space="preserve">, </w:t>
      </w:r>
      <w:r w:rsidR="0063346D" w:rsidRPr="00DA3472">
        <w:rPr>
          <w:rFonts w:eastAsia="Times New Roman" w:cs="Arial"/>
          <w:sz w:val="24"/>
          <w:szCs w:val="24"/>
        </w:rPr>
        <w:t>Ryerson</w:t>
      </w:r>
      <w:r w:rsidR="007A790C" w:rsidRPr="00DA3472">
        <w:rPr>
          <w:rFonts w:eastAsia="Times New Roman" w:cs="Arial"/>
          <w:sz w:val="24"/>
          <w:szCs w:val="24"/>
        </w:rPr>
        <w:t xml:space="preserve"> University</w:t>
      </w:r>
      <w:r w:rsidR="006C680D" w:rsidRPr="00DA3472">
        <w:rPr>
          <w:rFonts w:eastAsia="Times New Roman" w:cs="Arial"/>
          <w:sz w:val="24"/>
          <w:szCs w:val="24"/>
        </w:rPr>
        <w:t xml:space="preserve">) </w:t>
      </w:r>
      <w:r w:rsidRPr="00DA3472">
        <w:rPr>
          <w:rFonts w:eastAsia="Times New Roman" w:cs="Arial"/>
          <w:sz w:val="24"/>
          <w:szCs w:val="24"/>
        </w:rPr>
        <w:t>and one internal</w:t>
      </w:r>
      <w:r w:rsidRPr="00DA3472">
        <w:rPr>
          <w:rFonts w:eastAsia="Times New Roman" w:cs="Arial"/>
          <w:color w:val="000000"/>
          <w:sz w:val="24"/>
          <w:szCs w:val="24"/>
          <w:lang w:val="en-US"/>
        </w:rPr>
        <w:t xml:space="preserve"> </w:t>
      </w:r>
      <w:r w:rsidR="00EE5CA6">
        <w:rPr>
          <w:rFonts w:eastAsia="Times New Roman" w:cs="Arial"/>
          <w:color w:val="000000"/>
          <w:sz w:val="24"/>
          <w:szCs w:val="24"/>
          <w:lang w:val="en-US"/>
        </w:rPr>
        <w:t>representative</w:t>
      </w:r>
      <w:r w:rsidRPr="00DA3472">
        <w:rPr>
          <w:rFonts w:eastAsia="Times New Roman" w:cs="Arial"/>
          <w:color w:val="000000"/>
          <w:sz w:val="24"/>
          <w:szCs w:val="24"/>
          <w:lang w:val="en-US"/>
        </w:rPr>
        <w:t xml:space="preserve"> (</w:t>
      </w:r>
      <w:r w:rsidRPr="00DA3472">
        <w:rPr>
          <w:rFonts w:eastAsia="Times New Roman" w:cs="Calibri"/>
          <w:color w:val="000000"/>
          <w:sz w:val="24"/>
          <w:szCs w:val="24"/>
          <w:lang w:val="fr-FR"/>
        </w:rPr>
        <w:t xml:space="preserve">Dr. </w:t>
      </w:r>
      <w:r w:rsidR="0063346D" w:rsidRPr="00DA3472">
        <w:rPr>
          <w:rFonts w:eastAsia="Times New Roman" w:cs="Calibri"/>
          <w:color w:val="000000"/>
          <w:sz w:val="24"/>
          <w:szCs w:val="24"/>
          <w:lang w:val="fr-FR"/>
        </w:rPr>
        <w:t>Blair Niblett</w:t>
      </w:r>
      <w:r w:rsidR="00167154" w:rsidRPr="00DA3472">
        <w:rPr>
          <w:rFonts w:eastAsia="Times New Roman" w:cs="Calibri"/>
          <w:color w:val="000000"/>
          <w:sz w:val="24"/>
          <w:szCs w:val="24"/>
          <w:lang w:val="fr-FR"/>
        </w:rPr>
        <w:t>,</w:t>
      </w:r>
      <w:r w:rsidR="0063346D" w:rsidRPr="00DA3472">
        <w:rPr>
          <w:rFonts w:eastAsia="Times New Roman" w:cs="Calibri"/>
          <w:color w:val="000000"/>
          <w:sz w:val="24"/>
          <w:szCs w:val="24"/>
          <w:lang w:val="fr-FR"/>
        </w:rPr>
        <w:t xml:space="preserve"> </w:t>
      </w:r>
      <w:proofErr w:type="spellStart"/>
      <w:r w:rsidR="0063346D" w:rsidRPr="00DA3472">
        <w:rPr>
          <w:rFonts w:eastAsia="Times New Roman" w:cs="Calibri"/>
          <w:color w:val="000000"/>
          <w:sz w:val="24"/>
          <w:szCs w:val="24"/>
          <w:lang w:val="fr-FR"/>
        </w:rPr>
        <w:t>School</w:t>
      </w:r>
      <w:proofErr w:type="spellEnd"/>
      <w:r w:rsidR="0063346D" w:rsidRPr="00DA3472">
        <w:rPr>
          <w:rFonts w:eastAsia="Times New Roman" w:cs="Calibri"/>
          <w:color w:val="000000"/>
          <w:sz w:val="24"/>
          <w:szCs w:val="24"/>
          <w:lang w:val="fr-FR"/>
        </w:rPr>
        <w:t xml:space="preserve"> of Education,</w:t>
      </w:r>
      <w:r w:rsidR="00167154" w:rsidRPr="00DA3472">
        <w:rPr>
          <w:rFonts w:eastAsia="Times New Roman" w:cs="Calibri"/>
          <w:color w:val="000000"/>
          <w:sz w:val="24"/>
          <w:szCs w:val="24"/>
          <w:lang w:val="fr-FR"/>
        </w:rPr>
        <w:t xml:space="preserve"> </w:t>
      </w:r>
      <w:r w:rsidR="007A790C" w:rsidRPr="00DA3472">
        <w:rPr>
          <w:rFonts w:eastAsia="Times New Roman" w:cs="Calibri"/>
          <w:color w:val="000000"/>
          <w:sz w:val="24"/>
          <w:szCs w:val="24"/>
          <w:lang w:val="fr-FR"/>
        </w:rPr>
        <w:t>Tr</w:t>
      </w:r>
      <w:r w:rsidR="006C680D" w:rsidRPr="00DA3472">
        <w:rPr>
          <w:rFonts w:eastAsia="Times New Roman" w:cs="Calibri"/>
          <w:color w:val="000000"/>
          <w:sz w:val="24"/>
          <w:szCs w:val="24"/>
          <w:lang w:val="fr-FR"/>
        </w:rPr>
        <w:t>ent University</w:t>
      </w:r>
      <w:r w:rsidRPr="00DA3472">
        <w:rPr>
          <w:rFonts w:eastAsia="Times New Roman" w:cs="Arial"/>
          <w:color w:val="000000"/>
          <w:sz w:val="24"/>
          <w:szCs w:val="24"/>
          <w:lang w:val="en-US"/>
        </w:rPr>
        <w:t xml:space="preserve">) were invited to review the self-study documentation and then conducted a site visit to the </w:t>
      </w:r>
      <w:r w:rsidR="0095020D" w:rsidRPr="00DA3472">
        <w:rPr>
          <w:rFonts w:eastAsia="Times New Roman" w:cs="Arial"/>
          <w:color w:val="000000"/>
          <w:sz w:val="24"/>
          <w:szCs w:val="24"/>
          <w:lang w:val="en-US"/>
        </w:rPr>
        <w:t>U</w:t>
      </w:r>
      <w:r w:rsidRPr="00DA3472">
        <w:rPr>
          <w:rFonts w:eastAsia="Times New Roman" w:cs="Arial"/>
          <w:noProof/>
          <w:color w:val="000000"/>
          <w:sz w:val="24"/>
          <w:szCs w:val="24"/>
          <w:lang w:val="en-US"/>
        </w:rPr>
        <w:t>niversity</w:t>
      </w:r>
      <w:r w:rsidRPr="00DA3472">
        <w:rPr>
          <w:rFonts w:eastAsia="Times New Roman" w:cs="Arial"/>
          <w:color w:val="000000"/>
          <w:sz w:val="24"/>
          <w:szCs w:val="24"/>
          <w:lang w:val="en-US"/>
        </w:rPr>
        <w:t xml:space="preserve"> on </w:t>
      </w:r>
      <w:r w:rsidR="0063346D" w:rsidRPr="00DA3472">
        <w:rPr>
          <w:rFonts w:eastAsia="Times New Roman" w:cs="Arial"/>
          <w:color w:val="000000"/>
          <w:sz w:val="24"/>
          <w:szCs w:val="24"/>
          <w:lang w:val="en-US"/>
        </w:rPr>
        <w:t>March 6</w:t>
      </w:r>
      <w:r w:rsidR="0063346D" w:rsidRPr="00DA3472">
        <w:rPr>
          <w:rFonts w:eastAsia="Times New Roman" w:cs="Arial"/>
          <w:color w:val="000000"/>
          <w:sz w:val="24"/>
          <w:szCs w:val="24"/>
          <w:vertAlign w:val="superscript"/>
          <w:lang w:val="en-US"/>
        </w:rPr>
        <w:t>th</w:t>
      </w:r>
      <w:r w:rsidR="0063346D" w:rsidRPr="00DA3472">
        <w:rPr>
          <w:rFonts w:eastAsia="Times New Roman" w:cs="Arial"/>
          <w:color w:val="000000"/>
          <w:sz w:val="24"/>
          <w:szCs w:val="24"/>
          <w:lang w:val="en-US"/>
        </w:rPr>
        <w:t xml:space="preserve"> </w:t>
      </w:r>
      <w:r w:rsidR="0046318D" w:rsidRPr="00DA3472">
        <w:rPr>
          <w:rFonts w:eastAsia="Times New Roman" w:cs="Arial"/>
          <w:color w:val="000000"/>
          <w:sz w:val="24"/>
          <w:szCs w:val="24"/>
          <w:lang w:val="en-US"/>
        </w:rPr>
        <w:t xml:space="preserve">and </w:t>
      </w:r>
      <w:r w:rsidR="00DA3472" w:rsidRPr="00DA3472">
        <w:rPr>
          <w:rFonts w:eastAsia="Times New Roman" w:cs="Arial"/>
          <w:color w:val="000000"/>
          <w:sz w:val="24"/>
          <w:szCs w:val="24"/>
          <w:lang w:val="en-US"/>
        </w:rPr>
        <w:t>7</w:t>
      </w:r>
      <w:r w:rsidR="00DA3472" w:rsidRPr="00DA3472">
        <w:rPr>
          <w:rFonts w:eastAsia="Times New Roman" w:cs="Arial"/>
          <w:color w:val="000000"/>
          <w:sz w:val="24"/>
          <w:szCs w:val="24"/>
          <w:vertAlign w:val="superscript"/>
          <w:lang w:val="en-US"/>
        </w:rPr>
        <w:t>th</w:t>
      </w:r>
      <w:r w:rsidR="00DA3472" w:rsidRPr="00DA3472">
        <w:rPr>
          <w:rFonts w:eastAsia="Times New Roman" w:cs="Arial"/>
          <w:color w:val="000000"/>
          <w:sz w:val="24"/>
          <w:szCs w:val="24"/>
          <w:lang w:val="en-US"/>
        </w:rPr>
        <w:t>, 2019</w:t>
      </w:r>
      <w:r w:rsidR="006C680D" w:rsidRPr="00DA3472">
        <w:rPr>
          <w:rFonts w:eastAsia="Times New Roman" w:cs="Arial"/>
          <w:color w:val="000000"/>
          <w:sz w:val="24"/>
          <w:szCs w:val="24"/>
          <w:lang w:val="en-US"/>
        </w:rPr>
        <w:t>.</w:t>
      </w:r>
    </w:p>
    <w:p w14:paraId="0EBBB3BB" w14:textId="77777777" w:rsidR="00C959E2" w:rsidRPr="00DA3472" w:rsidRDefault="00C959E2" w:rsidP="00DD57F3">
      <w:pPr>
        <w:tabs>
          <w:tab w:val="left" w:pos="3969"/>
        </w:tabs>
        <w:rPr>
          <w:rFonts w:eastAsia="Times New Roman" w:cs="Arial"/>
          <w:sz w:val="24"/>
          <w:szCs w:val="24"/>
        </w:rPr>
      </w:pPr>
    </w:p>
    <w:p w14:paraId="51EAD098" w14:textId="40187C7B" w:rsidR="00C959E2" w:rsidRPr="00DA3472" w:rsidRDefault="00C959E2" w:rsidP="00DD57F3">
      <w:pPr>
        <w:tabs>
          <w:tab w:val="left" w:pos="3969"/>
        </w:tabs>
        <w:rPr>
          <w:rFonts w:eastAsia="Times New Roman" w:cs="Arial"/>
          <w:sz w:val="24"/>
          <w:szCs w:val="24"/>
        </w:rPr>
      </w:pPr>
      <w:r w:rsidRPr="00DA3472">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r w:rsidRPr="00DA3472">
        <w:rPr>
          <w:rFonts w:eastAsia="Times New Roman" w:cs="Arial"/>
          <w:sz w:val="24"/>
          <w:szCs w:val="24"/>
          <w:u w:val="single"/>
        </w:rPr>
        <w:t>Program’s Self-Study</w:t>
      </w:r>
      <w:r w:rsidRPr="00DA3472">
        <w:rPr>
          <w:rFonts w:eastAsia="Times New Roman" w:cs="Arial"/>
          <w:sz w:val="24"/>
          <w:szCs w:val="24"/>
        </w:rPr>
        <w:t xml:space="preserve">, the </w:t>
      </w:r>
      <w:r w:rsidRPr="00DA3472">
        <w:rPr>
          <w:rFonts w:eastAsia="Times New Roman" w:cs="Arial"/>
          <w:sz w:val="24"/>
          <w:szCs w:val="24"/>
          <w:u w:val="single"/>
        </w:rPr>
        <w:t>External Reviewers’ Report</w:t>
      </w:r>
      <w:r w:rsidRPr="00DA3472">
        <w:rPr>
          <w:rFonts w:eastAsia="Times New Roman" w:cs="Arial"/>
          <w:sz w:val="24"/>
          <w:szCs w:val="24"/>
        </w:rPr>
        <w:t>,</w:t>
      </w:r>
      <w:r w:rsidR="00DF2E05">
        <w:rPr>
          <w:rFonts w:eastAsia="Times New Roman" w:cs="Arial"/>
          <w:sz w:val="24"/>
          <w:szCs w:val="24"/>
        </w:rPr>
        <w:t xml:space="preserve"> and</w:t>
      </w:r>
      <w:r w:rsidRPr="00DA3472">
        <w:rPr>
          <w:rFonts w:eastAsia="Times New Roman" w:cs="Arial"/>
          <w:sz w:val="24"/>
          <w:szCs w:val="24"/>
        </w:rPr>
        <w:t xml:space="preserve"> </w:t>
      </w:r>
      <w:r w:rsidRPr="00DF2E05">
        <w:rPr>
          <w:rFonts w:eastAsia="Times New Roman" w:cs="Arial"/>
          <w:sz w:val="24"/>
          <w:szCs w:val="24"/>
        </w:rPr>
        <w:t xml:space="preserve">the </w:t>
      </w:r>
      <w:r w:rsidR="00DF2E05" w:rsidRPr="00DF2E05">
        <w:rPr>
          <w:rFonts w:eastAsia="Times New Roman" w:cs="Arial"/>
          <w:sz w:val="24"/>
          <w:szCs w:val="24"/>
          <w:u w:val="single"/>
        </w:rPr>
        <w:t>School’s Response</w:t>
      </w:r>
      <w:r w:rsidR="000E313C">
        <w:rPr>
          <w:rFonts w:eastAsia="Times New Roman" w:cs="Arial"/>
          <w:sz w:val="24"/>
          <w:szCs w:val="24"/>
        </w:rPr>
        <w:t xml:space="preserve"> (joint response by faculty and Dean)</w:t>
      </w:r>
      <w:r w:rsidRPr="00DF2E05">
        <w:rPr>
          <w:rFonts w:eastAsia="Times New Roman" w:cs="Arial"/>
          <w:sz w:val="24"/>
          <w:szCs w:val="24"/>
        </w:rPr>
        <w:t>.</w:t>
      </w:r>
      <w:r w:rsidRPr="00DA3472">
        <w:rPr>
          <w:rFonts w:eastAsia="Times New Roman" w:cs="Arial"/>
          <w:sz w:val="24"/>
          <w:szCs w:val="24"/>
        </w:rPr>
        <w:t xml:space="preserve"> </w:t>
      </w:r>
    </w:p>
    <w:p w14:paraId="385131E2" w14:textId="77777777" w:rsidR="00C959E2" w:rsidRPr="0063346D" w:rsidRDefault="00C959E2" w:rsidP="00DD57F3">
      <w:pPr>
        <w:tabs>
          <w:tab w:val="left" w:pos="3969"/>
        </w:tabs>
        <w:rPr>
          <w:rFonts w:eastAsia="Times New Roman" w:cs="Arial"/>
          <w:sz w:val="24"/>
          <w:szCs w:val="24"/>
          <w:highlight w:val="yellow"/>
        </w:rPr>
      </w:pPr>
    </w:p>
    <w:p w14:paraId="1DF37CB3" w14:textId="76959460" w:rsidR="00C959E2" w:rsidRPr="00DA3472" w:rsidRDefault="00C959E2" w:rsidP="00DD57F3">
      <w:pPr>
        <w:tabs>
          <w:tab w:val="left" w:pos="3969"/>
        </w:tabs>
        <w:rPr>
          <w:rFonts w:eastAsia="Times New Roman" w:cs="Arial"/>
          <w:sz w:val="24"/>
          <w:szCs w:val="24"/>
        </w:rPr>
      </w:pPr>
      <w:r w:rsidRPr="00DA3472">
        <w:rPr>
          <w:rFonts w:eastAsia="Times New Roman" w:cs="Arial"/>
          <w:sz w:val="24"/>
          <w:szCs w:val="24"/>
        </w:rPr>
        <w:t xml:space="preserve">A summary of the review process is as follows: the academic unit(s) completed a self-study which </w:t>
      </w:r>
      <w:r w:rsidRPr="00D970B1">
        <w:rPr>
          <w:rFonts w:eastAsia="Times New Roman" w:cs="Arial"/>
          <w:sz w:val="24"/>
          <w:szCs w:val="24"/>
        </w:rPr>
        <w:t>addressed all components of the evaluation criteria as outlined in Trent’s IQAP. Appe</w:t>
      </w:r>
      <w:r w:rsidR="006C680D" w:rsidRPr="00D970B1">
        <w:rPr>
          <w:rFonts w:eastAsia="Times New Roman" w:cs="Arial"/>
          <w:sz w:val="24"/>
          <w:szCs w:val="24"/>
        </w:rPr>
        <w:t xml:space="preserve">ndices included: </w:t>
      </w:r>
      <w:r w:rsidRPr="00BA6330">
        <w:rPr>
          <w:rFonts w:eastAsia="Times New Roman" w:cs="Arial"/>
          <w:sz w:val="24"/>
          <w:szCs w:val="24"/>
        </w:rPr>
        <w:t>Curriculum Vitae</w:t>
      </w:r>
      <w:r w:rsidR="006C680D" w:rsidRPr="00BA6330">
        <w:rPr>
          <w:rFonts w:eastAsia="Times New Roman" w:cs="Arial"/>
          <w:sz w:val="24"/>
          <w:szCs w:val="24"/>
        </w:rPr>
        <w:t>;</w:t>
      </w:r>
      <w:r w:rsidRPr="00BA6330">
        <w:rPr>
          <w:rFonts w:eastAsia="Times New Roman" w:cs="Arial"/>
          <w:sz w:val="24"/>
          <w:szCs w:val="24"/>
        </w:rPr>
        <w:t xml:space="preserve"> </w:t>
      </w:r>
      <w:r w:rsidR="00885290" w:rsidRPr="00BA6330">
        <w:rPr>
          <w:rFonts w:eastAsia="Times New Roman" w:cs="Arial"/>
          <w:sz w:val="24"/>
          <w:szCs w:val="24"/>
        </w:rPr>
        <w:t xml:space="preserve">Course Syllabi; </w:t>
      </w:r>
      <w:r w:rsidR="006C680D" w:rsidRPr="00BA6330">
        <w:rPr>
          <w:rFonts w:eastAsia="Times New Roman" w:cs="Arial"/>
          <w:sz w:val="24"/>
          <w:szCs w:val="24"/>
        </w:rPr>
        <w:t xml:space="preserve">Enrolment, </w:t>
      </w:r>
      <w:r w:rsidR="00F714C6" w:rsidRPr="00BA6330">
        <w:rPr>
          <w:rFonts w:eastAsia="Times New Roman" w:cs="Arial"/>
          <w:sz w:val="24"/>
          <w:szCs w:val="24"/>
        </w:rPr>
        <w:t>Retention and Student Data;</w:t>
      </w:r>
      <w:r w:rsidR="00DA3472" w:rsidRPr="00BA6330">
        <w:rPr>
          <w:rFonts w:eastAsia="Times New Roman" w:cs="Arial"/>
          <w:sz w:val="24"/>
          <w:szCs w:val="24"/>
        </w:rPr>
        <w:t xml:space="preserve"> Library Statement of Support; Alumni Surveys and </w:t>
      </w:r>
      <w:r w:rsidR="00885290" w:rsidRPr="00BA6330">
        <w:rPr>
          <w:rFonts w:eastAsia="Times New Roman" w:cs="Arial"/>
          <w:sz w:val="24"/>
          <w:szCs w:val="24"/>
        </w:rPr>
        <w:t>Student Surveys</w:t>
      </w:r>
      <w:r w:rsidR="006C680D" w:rsidRPr="00BA6330">
        <w:rPr>
          <w:rFonts w:eastAsia="Times New Roman" w:cs="Arial"/>
          <w:sz w:val="24"/>
          <w:szCs w:val="24"/>
        </w:rPr>
        <w:t>.</w:t>
      </w:r>
      <w:r w:rsidRPr="00BA6330">
        <w:rPr>
          <w:rFonts w:eastAsia="Times New Roman" w:cs="Arial"/>
          <w:sz w:val="24"/>
          <w:szCs w:val="24"/>
        </w:rPr>
        <w:t xml:space="preserve"> Qualified</w:t>
      </w:r>
      <w:r w:rsidRPr="00DA3472">
        <w:rPr>
          <w:rFonts w:eastAsia="Times New Roman" w:cs="Arial"/>
          <w:sz w:val="24"/>
          <w:szCs w:val="24"/>
        </w:rPr>
        <w:t xml:space="preserve"> external reviewers were invited to conduct a review of the program which involved a review of all relevant documentation (self-study, appendices, IQAP) in advance of the site visit. A two-day site visit took place where reviewers met with senior admini</w:t>
      </w:r>
      <w:r w:rsidR="00885290" w:rsidRPr="00DA3472">
        <w:rPr>
          <w:rFonts w:eastAsia="Times New Roman" w:cs="Arial"/>
          <w:sz w:val="24"/>
          <w:szCs w:val="24"/>
        </w:rPr>
        <w:t xml:space="preserve">stration, </w:t>
      </w:r>
      <w:r w:rsidR="00885290" w:rsidRPr="00DA3472">
        <w:rPr>
          <w:rFonts w:eastAsia="Times New Roman" w:cs="Arial"/>
          <w:noProof/>
          <w:sz w:val="24"/>
          <w:szCs w:val="24"/>
        </w:rPr>
        <w:t>faculty</w:t>
      </w:r>
      <w:r w:rsidR="00523724" w:rsidRPr="00DA3472">
        <w:rPr>
          <w:rFonts w:eastAsia="Times New Roman" w:cs="Arial"/>
          <w:noProof/>
          <w:sz w:val="24"/>
          <w:szCs w:val="24"/>
        </w:rPr>
        <w:t>,</w:t>
      </w:r>
      <w:r w:rsidR="00885290" w:rsidRPr="00DA3472">
        <w:rPr>
          <w:rFonts w:eastAsia="Times New Roman" w:cs="Arial"/>
          <w:sz w:val="24"/>
          <w:szCs w:val="24"/>
        </w:rPr>
        <w:t xml:space="preserve"> and students</w:t>
      </w:r>
      <w:r w:rsidR="0023196C" w:rsidRPr="00DA3472">
        <w:rPr>
          <w:rFonts w:eastAsia="Times New Roman" w:cs="Arial"/>
          <w:sz w:val="24"/>
          <w:szCs w:val="24"/>
        </w:rPr>
        <w:t>.</w:t>
      </w:r>
    </w:p>
    <w:p w14:paraId="2103B173" w14:textId="77777777" w:rsidR="00C959E2" w:rsidRPr="0063346D" w:rsidRDefault="00C959E2" w:rsidP="00DD57F3">
      <w:pPr>
        <w:tabs>
          <w:tab w:val="left" w:pos="3969"/>
        </w:tabs>
        <w:rPr>
          <w:rFonts w:eastAsia="Times New Roman" w:cs="Arial"/>
          <w:sz w:val="24"/>
          <w:szCs w:val="24"/>
          <w:highlight w:val="yellow"/>
        </w:rPr>
      </w:pPr>
    </w:p>
    <w:p w14:paraId="25BB5B20" w14:textId="36EE5604" w:rsidR="00C959E2" w:rsidRPr="00DA3472" w:rsidRDefault="00C959E2" w:rsidP="00DD57F3">
      <w:pPr>
        <w:tabs>
          <w:tab w:val="left" w:pos="3969"/>
        </w:tabs>
        <w:rPr>
          <w:rFonts w:eastAsia="Times New Roman" w:cs="Arial"/>
          <w:sz w:val="24"/>
          <w:szCs w:val="24"/>
        </w:rPr>
      </w:pPr>
      <w:r w:rsidRPr="00DA3472">
        <w:rPr>
          <w:rFonts w:eastAsia="Times New Roman" w:cs="Arial"/>
          <w:sz w:val="24"/>
          <w:szCs w:val="24"/>
        </w:rPr>
        <w:t xml:space="preserve">Once the external reviewers’ report was received </w:t>
      </w:r>
      <w:r w:rsidR="00DA3472" w:rsidRPr="00DA3472">
        <w:rPr>
          <w:rFonts w:eastAsia="Times New Roman" w:cs="Arial"/>
          <w:sz w:val="24"/>
          <w:szCs w:val="24"/>
        </w:rPr>
        <w:t xml:space="preserve">the School </w:t>
      </w:r>
      <w:r w:rsidRPr="00DA3472">
        <w:rPr>
          <w:rFonts w:eastAsia="Times New Roman" w:cs="Arial"/>
          <w:sz w:val="24"/>
          <w:szCs w:val="24"/>
        </w:rPr>
        <w:t>provided responses to the report. The Cyclical Program Review Committee (CPRC) reviewed and assessed th</w:t>
      </w:r>
      <w:r w:rsidR="001B1D41">
        <w:rPr>
          <w:rFonts w:eastAsia="Times New Roman" w:cs="Arial"/>
          <w:sz w:val="24"/>
          <w:szCs w:val="24"/>
        </w:rPr>
        <w:t>e quality of the degree program</w:t>
      </w:r>
      <w:r w:rsidRPr="00DA3472">
        <w:rPr>
          <w:rFonts w:eastAsia="Times New Roman" w:cs="Arial"/>
          <w:sz w:val="24"/>
          <w:szCs w:val="24"/>
        </w:rPr>
        <w:t xml:space="preserve"> based on the four review documents and reports on significant program strengths, opportunities for improvement and enhancement, and the implementation of recommendations.</w:t>
      </w:r>
    </w:p>
    <w:p w14:paraId="1FA3A601" w14:textId="7ECFC1A3" w:rsidR="00C959E2" w:rsidRPr="0063346D" w:rsidRDefault="00C959E2" w:rsidP="00DD57F3">
      <w:pPr>
        <w:tabs>
          <w:tab w:val="left" w:pos="3969"/>
        </w:tabs>
        <w:rPr>
          <w:rFonts w:eastAsia="Times New Roman" w:cs="Arial"/>
          <w:i/>
          <w:sz w:val="24"/>
          <w:szCs w:val="24"/>
          <w:highlight w:val="yellow"/>
        </w:rPr>
      </w:pPr>
    </w:p>
    <w:p w14:paraId="642443DC" w14:textId="1082DDD6" w:rsidR="00C959E2" w:rsidRPr="00DD57F3" w:rsidRDefault="00C959E2" w:rsidP="00DD57F3">
      <w:pPr>
        <w:tabs>
          <w:tab w:val="left" w:pos="3969"/>
        </w:tabs>
        <w:rPr>
          <w:rFonts w:eastAsia="Times New Roman" w:cs="Arial"/>
          <w:sz w:val="24"/>
          <w:szCs w:val="24"/>
        </w:rPr>
      </w:pPr>
      <w:r w:rsidRPr="00DA3472">
        <w:rPr>
          <w:rFonts w:eastAsia="Times New Roman" w:cs="Arial"/>
          <w:sz w:val="24"/>
          <w:szCs w:val="24"/>
        </w:rPr>
        <w:t xml:space="preserve">The Implementation Plan identifies those recommendations selected for </w:t>
      </w:r>
      <w:r w:rsidRPr="00DA3472">
        <w:rPr>
          <w:rFonts w:eastAsia="Times New Roman" w:cs="Arial"/>
          <w:noProof/>
          <w:sz w:val="24"/>
          <w:szCs w:val="24"/>
        </w:rPr>
        <w:t>implementation</w:t>
      </w:r>
      <w:r w:rsidRPr="00DA3472">
        <w:rPr>
          <w:rFonts w:eastAsia="Times New Roman" w:cs="Arial"/>
          <w:sz w:val="24"/>
          <w:szCs w:val="24"/>
        </w:rPr>
        <w:t xml:space="preserve"> and </w:t>
      </w:r>
      <w:r w:rsidRPr="00DF2E05">
        <w:rPr>
          <w:rFonts w:eastAsia="Times New Roman" w:cs="Arial"/>
          <w:noProof/>
          <w:sz w:val="24"/>
          <w:szCs w:val="24"/>
        </w:rPr>
        <w:t>specifies:</w:t>
      </w:r>
      <w:r w:rsidRPr="00DF2E05">
        <w:rPr>
          <w:rFonts w:eastAsia="Times New Roman" w:cs="Arial"/>
          <w:sz w:val="24"/>
          <w:szCs w:val="24"/>
        </w:rPr>
        <w:t xml:space="preserve"> proposed follow-up, who is responsible for leading the follow-up, and the specific timeline for addressing the recommendation, if applicable. Academic units, in consultation with the respective Dean, will</w:t>
      </w:r>
      <w:r w:rsidRPr="00DA3472">
        <w:rPr>
          <w:rFonts w:eastAsia="Times New Roman" w:cs="Arial"/>
          <w:sz w:val="24"/>
          <w:szCs w:val="24"/>
        </w:rPr>
        <w:t xml:space="preserve"> submit an Implementation Report in response to the recommendations identified for follow-up. The Report is due </w:t>
      </w:r>
      <w:r w:rsidR="00DA3472" w:rsidRPr="00504629">
        <w:rPr>
          <w:rFonts w:eastAsia="Times New Roman" w:cs="Arial"/>
          <w:sz w:val="24"/>
          <w:szCs w:val="24"/>
        </w:rPr>
        <w:t>October 1, 2020</w:t>
      </w:r>
      <w:r w:rsidR="0029363F" w:rsidRPr="00504629">
        <w:rPr>
          <w:rFonts w:eastAsia="Times New Roman" w:cs="Arial"/>
          <w:sz w:val="24"/>
          <w:szCs w:val="24"/>
        </w:rPr>
        <w:t>.</w:t>
      </w:r>
    </w:p>
    <w:p w14:paraId="5E4C4468" w14:textId="77777777" w:rsidR="00885290" w:rsidRPr="00DD57F3" w:rsidRDefault="00885290" w:rsidP="00DD57F3">
      <w:pPr>
        <w:pBdr>
          <w:bottom w:val="single" w:sz="2" w:space="1" w:color="auto"/>
        </w:pBdr>
        <w:rPr>
          <w:rFonts w:eastAsia="Times New Roman" w:cs="Arial"/>
          <w:b/>
          <w:color w:val="2E74B5" w:themeColor="accent1" w:themeShade="BF"/>
          <w:sz w:val="24"/>
          <w:szCs w:val="24"/>
        </w:rPr>
      </w:pPr>
    </w:p>
    <w:p w14:paraId="2EE942CB" w14:textId="2551D358" w:rsidR="00C959E2" w:rsidRPr="0066025C" w:rsidRDefault="0066025C" w:rsidP="00DD57F3">
      <w:pPr>
        <w:pBdr>
          <w:bottom w:val="single" w:sz="2" w:space="1" w:color="auto"/>
        </w:pBdr>
        <w:rPr>
          <w:rFonts w:eastAsia="Times New Roman" w:cstheme="minorHAnsi"/>
          <w:b/>
          <w:color w:val="3B5F4F"/>
          <w:sz w:val="28"/>
          <w:szCs w:val="28"/>
        </w:rPr>
      </w:pPr>
      <w:r w:rsidRPr="0066025C">
        <w:rPr>
          <w:rFonts w:eastAsia="Times New Roman" w:cstheme="minorHAnsi"/>
          <w:b/>
          <w:color w:val="3B5F4F"/>
          <w:sz w:val="28"/>
          <w:szCs w:val="28"/>
        </w:rPr>
        <w:t>Significant Program Strengths</w:t>
      </w:r>
    </w:p>
    <w:p w14:paraId="45B426A2" w14:textId="77777777" w:rsidR="00C959E2" w:rsidRPr="00957B3F" w:rsidRDefault="00C959E2" w:rsidP="00DD57F3">
      <w:pPr>
        <w:rPr>
          <w:rFonts w:eastAsia="Times New Roman" w:cs="Arial"/>
          <w:color w:val="000000"/>
          <w:sz w:val="20"/>
          <w:szCs w:val="20"/>
        </w:rPr>
      </w:pPr>
    </w:p>
    <w:p w14:paraId="73DC591F" w14:textId="66C0E100" w:rsidR="002876A8" w:rsidRDefault="002876A8" w:rsidP="003847D8">
      <w:pPr>
        <w:pStyle w:val="ListParagraph"/>
        <w:numPr>
          <w:ilvl w:val="0"/>
          <w:numId w:val="43"/>
        </w:numPr>
        <w:tabs>
          <w:tab w:val="left" w:pos="360"/>
        </w:tabs>
        <w:ind w:left="360"/>
        <w:rPr>
          <w:sz w:val="24"/>
          <w:szCs w:val="32"/>
        </w:rPr>
      </w:pPr>
      <w:r w:rsidRPr="003847D8">
        <w:rPr>
          <w:sz w:val="24"/>
          <w:szCs w:val="32"/>
        </w:rPr>
        <w:t xml:space="preserve">The </w:t>
      </w:r>
      <w:r w:rsidR="003847D8" w:rsidRPr="003847D8">
        <w:rPr>
          <w:sz w:val="24"/>
          <w:szCs w:val="32"/>
        </w:rPr>
        <w:t xml:space="preserve">School of Nursing introduces students to clinical practice as early as possible, allowing students to </w:t>
      </w:r>
      <w:r w:rsidR="00F21922">
        <w:rPr>
          <w:sz w:val="24"/>
          <w:szCs w:val="32"/>
        </w:rPr>
        <w:t xml:space="preserve">explore </w:t>
      </w:r>
      <w:r w:rsidR="003847D8" w:rsidRPr="003847D8">
        <w:rPr>
          <w:sz w:val="24"/>
          <w:szCs w:val="32"/>
        </w:rPr>
        <w:t>the role of st</w:t>
      </w:r>
      <w:r w:rsidR="003847D8">
        <w:rPr>
          <w:sz w:val="24"/>
          <w:szCs w:val="32"/>
        </w:rPr>
        <w:t>u</w:t>
      </w:r>
      <w:r w:rsidR="00F21922">
        <w:rPr>
          <w:sz w:val="24"/>
          <w:szCs w:val="32"/>
        </w:rPr>
        <w:t xml:space="preserve">dent nurse in </w:t>
      </w:r>
      <w:r w:rsidR="001B1D41">
        <w:rPr>
          <w:sz w:val="24"/>
          <w:szCs w:val="32"/>
        </w:rPr>
        <w:t xml:space="preserve">a </w:t>
      </w:r>
      <w:r w:rsidR="00742FCC">
        <w:rPr>
          <w:sz w:val="24"/>
          <w:szCs w:val="32"/>
        </w:rPr>
        <w:t>low-risk context while developing</w:t>
      </w:r>
      <w:r w:rsidR="00F21922">
        <w:rPr>
          <w:sz w:val="24"/>
          <w:szCs w:val="32"/>
        </w:rPr>
        <w:t xml:space="preserve"> direct hands-on care and relationship skills.</w:t>
      </w:r>
      <w:r w:rsidR="00793062" w:rsidRPr="003847D8">
        <w:rPr>
          <w:sz w:val="24"/>
          <w:szCs w:val="32"/>
        </w:rPr>
        <w:t xml:space="preserve"> </w:t>
      </w:r>
    </w:p>
    <w:p w14:paraId="572B577A" w14:textId="77777777" w:rsidR="00F21922" w:rsidRDefault="00F21922" w:rsidP="00F21922">
      <w:pPr>
        <w:pStyle w:val="ListParagraph"/>
        <w:tabs>
          <w:tab w:val="left" w:pos="360"/>
        </w:tabs>
        <w:ind w:left="360"/>
        <w:rPr>
          <w:sz w:val="24"/>
          <w:szCs w:val="32"/>
        </w:rPr>
      </w:pPr>
    </w:p>
    <w:p w14:paraId="65C970F3" w14:textId="4BD4AE2C" w:rsidR="003847D8" w:rsidRDefault="00FA680C" w:rsidP="003847D8">
      <w:pPr>
        <w:pStyle w:val="ListParagraph"/>
        <w:numPr>
          <w:ilvl w:val="0"/>
          <w:numId w:val="43"/>
        </w:numPr>
        <w:tabs>
          <w:tab w:val="left" w:pos="360"/>
        </w:tabs>
        <w:ind w:left="360"/>
        <w:rPr>
          <w:sz w:val="24"/>
          <w:szCs w:val="32"/>
        </w:rPr>
      </w:pPr>
      <w:r>
        <w:rPr>
          <w:sz w:val="24"/>
          <w:szCs w:val="32"/>
        </w:rPr>
        <w:t>G</w:t>
      </w:r>
      <w:r w:rsidR="00F21922">
        <w:rPr>
          <w:sz w:val="24"/>
          <w:szCs w:val="32"/>
        </w:rPr>
        <w:t xml:space="preserve">raduation </w:t>
      </w:r>
      <w:r w:rsidR="00DF2E05">
        <w:rPr>
          <w:sz w:val="24"/>
          <w:szCs w:val="32"/>
        </w:rPr>
        <w:t xml:space="preserve">rates </w:t>
      </w:r>
      <w:r>
        <w:rPr>
          <w:sz w:val="24"/>
          <w:szCs w:val="32"/>
        </w:rPr>
        <w:t xml:space="preserve">have improved significantly </w:t>
      </w:r>
      <w:r w:rsidR="00DF2E05">
        <w:rPr>
          <w:sz w:val="24"/>
          <w:szCs w:val="32"/>
        </w:rPr>
        <w:t xml:space="preserve">since 2011 and </w:t>
      </w:r>
      <w:r>
        <w:rPr>
          <w:sz w:val="24"/>
          <w:szCs w:val="32"/>
        </w:rPr>
        <w:t xml:space="preserve">graduates </w:t>
      </w:r>
      <w:r w:rsidR="00DF2E05">
        <w:rPr>
          <w:sz w:val="24"/>
          <w:szCs w:val="32"/>
        </w:rPr>
        <w:t>continue to have</w:t>
      </w:r>
      <w:r w:rsidR="00F21922">
        <w:rPr>
          <w:sz w:val="24"/>
          <w:szCs w:val="32"/>
        </w:rPr>
        <w:t xml:space="preserve"> high levels of employment in nursing related positions at six months and two years post graduatio</w:t>
      </w:r>
      <w:r w:rsidR="00DF2E05">
        <w:rPr>
          <w:sz w:val="24"/>
          <w:szCs w:val="32"/>
        </w:rPr>
        <w:t>n</w:t>
      </w:r>
      <w:r w:rsidR="003F73B5">
        <w:rPr>
          <w:sz w:val="24"/>
          <w:szCs w:val="32"/>
        </w:rPr>
        <w:t>.</w:t>
      </w:r>
    </w:p>
    <w:p w14:paraId="45F3CA41" w14:textId="77777777" w:rsidR="003847D8" w:rsidRPr="003847D8" w:rsidRDefault="003847D8" w:rsidP="003847D8">
      <w:pPr>
        <w:pStyle w:val="ListParagraph"/>
        <w:tabs>
          <w:tab w:val="left" w:pos="360"/>
        </w:tabs>
        <w:ind w:left="360"/>
        <w:rPr>
          <w:sz w:val="24"/>
          <w:szCs w:val="32"/>
        </w:rPr>
      </w:pPr>
    </w:p>
    <w:p w14:paraId="0931FA65" w14:textId="32D72DF3" w:rsidR="000C02A9" w:rsidRPr="00F21922" w:rsidRDefault="0057662A" w:rsidP="00A05B94">
      <w:pPr>
        <w:pStyle w:val="ListParagraph"/>
        <w:numPr>
          <w:ilvl w:val="0"/>
          <w:numId w:val="43"/>
        </w:numPr>
        <w:ind w:left="360"/>
        <w:rPr>
          <w:sz w:val="24"/>
          <w:szCs w:val="32"/>
        </w:rPr>
      </w:pPr>
      <w:r w:rsidRPr="00F21922">
        <w:rPr>
          <w:sz w:val="24"/>
          <w:szCs w:val="32"/>
        </w:rPr>
        <w:t xml:space="preserve">Reviewers were impressed with </w:t>
      </w:r>
      <w:r w:rsidR="00F21922" w:rsidRPr="00F21922">
        <w:rPr>
          <w:sz w:val="24"/>
          <w:szCs w:val="32"/>
        </w:rPr>
        <w:t xml:space="preserve">the experiential learning labs offered to </w:t>
      </w:r>
      <w:r w:rsidR="00EE5CA6">
        <w:rPr>
          <w:sz w:val="24"/>
          <w:szCs w:val="32"/>
        </w:rPr>
        <w:t>s</w:t>
      </w:r>
      <w:r w:rsidR="00F21922" w:rsidRPr="00F21922">
        <w:rPr>
          <w:sz w:val="24"/>
          <w:szCs w:val="32"/>
        </w:rPr>
        <w:t>tudents. The</w:t>
      </w:r>
      <w:r w:rsidR="00FD62CB">
        <w:rPr>
          <w:sz w:val="24"/>
          <w:szCs w:val="32"/>
        </w:rPr>
        <w:t xml:space="preserve"> innovative nature of these l</w:t>
      </w:r>
      <w:r w:rsidR="00F21922" w:rsidRPr="00F21922">
        <w:rPr>
          <w:sz w:val="24"/>
          <w:szCs w:val="32"/>
        </w:rPr>
        <w:t xml:space="preserve">abs </w:t>
      </w:r>
      <w:r w:rsidR="00FD62CB">
        <w:rPr>
          <w:sz w:val="24"/>
          <w:szCs w:val="32"/>
        </w:rPr>
        <w:t>provide</w:t>
      </w:r>
      <w:r w:rsidR="00EE5CA6">
        <w:rPr>
          <w:sz w:val="24"/>
          <w:szCs w:val="32"/>
        </w:rPr>
        <w:t>s</w:t>
      </w:r>
      <w:r w:rsidR="00FD62CB">
        <w:rPr>
          <w:sz w:val="24"/>
          <w:szCs w:val="32"/>
        </w:rPr>
        <w:t xml:space="preserve"> opportunities for </w:t>
      </w:r>
      <w:r w:rsidR="00FA680C">
        <w:rPr>
          <w:sz w:val="24"/>
          <w:szCs w:val="32"/>
        </w:rPr>
        <w:t xml:space="preserve">highly interactive </w:t>
      </w:r>
      <w:r w:rsidR="00FD62CB">
        <w:rPr>
          <w:sz w:val="24"/>
          <w:szCs w:val="32"/>
        </w:rPr>
        <w:t>student engagement and</w:t>
      </w:r>
      <w:r w:rsidR="00FA680C">
        <w:rPr>
          <w:sz w:val="24"/>
          <w:szCs w:val="32"/>
        </w:rPr>
        <w:t xml:space="preserve"> </w:t>
      </w:r>
      <w:r w:rsidR="00FD62CB">
        <w:rPr>
          <w:sz w:val="24"/>
          <w:szCs w:val="32"/>
        </w:rPr>
        <w:t>practical application of concepts</w:t>
      </w:r>
      <w:r w:rsidR="00F21922" w:rsidRPr="00F21922">
        <w:rPr>
          <w:sz w:val="24"/>
          <w:szCs w:val="32"/>
        </w:rPr>
        <w:t>.</w:t>
      </w:r>
      <w:r w:rsidR="00793062" w:rsidRPr="00F21922">
        <w:rPr>
          <w:sz w:val="24"/>
          <w:szCs w:val="32"/>
        </w:rPr>
        <w:t xml:space="preserve"> </w:t>
      </w:r>
    </w:p>
    <w:p w14:paraId="3F45E340" w14:textId="77777777" w:rsidR="00EE5CA6" w:rsidRDefault="00EE5CA6" w:rsidP="00EE5CA6">
      <w:pPr>
        <w:rPr>
          <w:rFonts w:eastAsia="Times New Roman" w:cs="Arial"/>
          <w:b/>
          <w:color w:val="3B5F4F"/>
          <w:sz w:val="24"/>
          <w:szCs w:val="24"/>
        </w:rPr>
      </w:pPr>
    </w:p>
    <w:p w14:paraId="5D5F9F40" w14:textId="4D559A62" w:rsidR="00C959E2" w:rsidRPr="0066025C" w:rsidRDefault="0066025C" w:rsidP="00DD57F3">
      <w:pPr>
        <w:pBdr>
          <w:bottom w:val="single" w:sz="2" w:space="1" w:color="auto"/>
        </w:pBdr>
        <w:rPr>
          <w:rFonts w:eastAsia="Times New Roman" w:cstheme="minorHAnsi"/>
          <w:b/>
          <w:color w:val="3B5F4F"/>
          <w:sz w:val="28"/>
          <w:szCs w:val="28"/>
        </w:rPr>
      </w:pPr>
      <w:r w:rsidRPr="0066025C">
        <w:rPr>
          <w:rFonts w:eastAsia="Times New Roman" w:cstheme="minorHAnsi"/>
          <w:b/>
          <w:color w:val="3B5F4F"/>
          <w:sz w:val="28"/>
          <w:szCs w:val="28"/>
        </w:rPr>
        <w:lastRenderedPageBreak/>
        <w:t>Opportunities f</w:t>
      </w:r>
      <w:r>
        <w:rPr>
          <w:rFonts w:eastAsia="Times New Roman" w:cstheme="minorHAnsi"/>
          <w:b/>
          <w:color w:val="3B5F4F"/>
          <w:sz w:val="28"/>
          <w:szCs w:val="28"/>
        </w:rPr>
        <w:t>or Program Improvement a</w:t>
      </w:r>
      <w:r w:rsidRPr="0066025C">
        <w:rPr>
          <w:rFonts w:eastAsia="Times New Roman" w:cstheme="minorHAnsi"/>
          <w:b/>
          <w:color w:val="3B5F4F"/>
          <w:sz w:val="28"/>
          <w:szCs w:val="28"/>
        </w:rPr>
        <w:t>nd Enhancement</w:t>
      </w:r>
    </w:p>
    <w:p w14:paraId="3D300030" w14:textId="77777777" w:rsidR="00441061" w:rsidRDefault="00441061" w:rsidP="00242A7E">
      <w:pPr>
        <w:pStyle w:val="ListParagraph"/>
        <w:autoSpaceDE w:val="0"/>
        <w:autoSpaceDN w:val="0"/>
        <w:adjustRightInd w:val="0"/>
        <w:rPr>
          <w:sz w:val="24"/>
          <w:szCs w:val="32"/>
        </w:rPr>
      </w:pPr>
    </w:p>
    <w:p w14:paraId="564B5E3B" w14:textId="77777777" w:rsidR="00EE5CA6" w:rsidRDefault="000C02A9" w:rsidP="00504629">
      <w:pPr>
        <w:pStyle w:val="ListParagraph"/>
        <w:numPr>
          <w:ilvl w:val="0"/>
          <w:numId w:val="44"/>
        </w:numPr>
        <w:ind w:left="360"/>
        <w:rPr>
          <w:sz w:val="24"/>
          <w:szCs w:val="32"/>
        </w:rPr>
      </w:pPr>
      <w:r w:rsidRPr="00EE5CA6">
        <w:rPr>
          <w:sz w:val="24"/>
          <w:szCs w:val="32"/>
        </w:rPr>
        <w:t xml:space="preserve">The </w:t>
      </w:r>
      <w:r w:rsidR="003847D8" w:rsidRPr="00EE5CA6">
        <w:rPr>
          <w:sz w:val="24"/>
          <w:szCs w:val="32"/>
        </w:rPr>
        <w:t xml:space="preserve">School </w:t>
      </w:r>
      <w:r w:rsidR="00EE5CA6" w:rsidRPr="00EE5CA6">
        <w:rPr>
          <w:sz w:val="24"/>
          <w:szCs w:val="32"/>
        </w:rPr>
        <w:t>should c</w:t>
      </w:r>
      <w:r w:rsidR="003847D8" w:rsidRPr="00EE5CA6">
        <w:rPr>
          <w:sz w:val="24"/>
          <w:szCs w:val="32"/>
        </w:rPr>
        <w:t xml:space="preserve">onsider </w:t>
      </w:r>
      <w:r w:rsidR="00A30646" w:rsidRPr="00EE5CA6">
        <w:rPr>
          <w:sz w:val="24"/>
          <w:szCs w:val="32"/>
        </w:rPr>
        <w:t>reviewing</w:t>
      </w:r>
      <w:r w:rsidR="00FD62CB" w:rsidRPr="00EE5CA6">
        <w:rPr>
          <w:sz w:val="24"/>
          <w:szCs w:val="32"/>
        </w:rPr>
        <w:t xml:space="preserve"> </w:t>
      </w:r>
      <w:r w:rsidR="00EE5CA6" w:rsidRPr="00EE5CA6">
        <w:rPr>
          <w:sz w:val="24"/>
          <w:szCs w:val="32"/>
        </w:rPr>
        <w:t xml:space="preserve">and implementing guidelines with respect to </w:t>
      </w:r>
      <w:r w:rsidR="00FD62CB" w:rsidRPr="00EE5CA6">
        <w:rPr>
          <w:sz w:val="24"/>
          <w:szCs w:val="32"/>
        </w:rPr>
        <w:t>the percentage of a student’s final grade that can be attributed to group work</w:t>
      </w:r>
      <w:r w:rsidR="00EE5CA6">
        <w:rPr>
          <w:sz w:val="24"/>
          <w:szCs w:val="32"/>
        </w:rPr>
        <w:t>.</w:t>
      </w:r>
    </w:p>
    <w:p w14:paraId="51711CA5" w14:textId="2FE8C9CA" w:rsidR="000C02A9" w:rsidRPr="00EE5CA6" w:rsidRDefault="00441061" w:rsidP="00504629">
      <w:pPr>
        <w:pStyle w:val="ListParagraph"/>
        <w:ind w:left="360"/>
        <w:rPr>
          <w:sz w:val="24"/>
          <w:szCs w:val="32"/>
        </w:rPr>
      </w:pPr>
      <w:r w:rsidRPr="00EE5CA6" w:rsidDel="00441061">
        <w:rPr>
          <w:sz w:val="24"/>
          <w:szCs w:val="32"/>
        </w:rPr>
        <w:t xml:space="preserve"> </w:t>
      </w:r>
    </w:p>
    <w:p w14:paraId="7B64D44F" w14:textId="3D47D0CB" w:rsidR="000C02A9" w:rsidRPr="003847D8" w:rsidRDefault="003847D8" w:rsidP="00793062">
      <w:pPr>
        <w:pStyle w:val="ListParagraph"/>
        <w:numPr>
          <w:ilvl w:val="0"/>
          <w:numId w:val="46"/>
        </w:numPr>
        <w:autoSpaceDE w:val="0"/>
        <w:autoSpaceDN w:val="0"/>
        <w:adjustRightInd w:val="0"/>
        <w:ind w:left="360"/>
        <w:rPr>
          <w:sz w:val="24"/>
          <w:szCs w:val="32"/>
        </w:rPr>
      </w:pPr>
      <w:r w:rsidRPr="003847D8">
        <w:rPr>
          <w:sz w:val="24"/>
          <w:szCs w:val="32"/>
        </w:rPr>
        <w:t xml:space="preserve">Students and </w:t>
      </w:r>
      <w:r w:rsidR="00EE5CA6">
        <w:rPr>
          <w:sz w:val="24"/>
          <w:szCs w:val="32"/>
        </w:rPr>
        <w:t>f</w:t>
      </w:r>
      <w:r w:rsidRPr="003847D8">
        <w:rPr>
          <w:sz w:val="24"/>
          <w:szCs w:val="32"/>
        </w:rPr>
        <w:t>aculty perceived the third year of the program to be particularly intense with heavy workload.</w:t>
      </w:r>
    </w:p>
    <w:p w14:paraId="6631C9E4" w14:textId="77777777" w:rsidR="00594731" w:rsidRPr="0063346D" w:rsidRDefault="00594731" w:rsidP="00793062">
      <w:pPr>
        <w:autoSpaceDE w:val="0"/>
        <w:autoSpaceDN w:val="0"/>
        <w:adjustRightInd w:val="0"/>
        <w:ind w:left="360" w:hanging="360"/>
        <w:rPr>
          <w:rFonts w:eastAsia="Calibri" w:cs="Arial"/>
          <w:color w:val="000000"/>
          <w:sz w:val="24"/>
          <w:szCs w:val="24"/>
          <w:highlight w:val="yellow"/>
          <w:lang w:eastAsia="en-CA"/>
        </w:rPr>
      </w:pPr>
    </w:p>
    <w:p w14:paraId="1BE4DC16" w14:textId="36B2BCAF" w:rsidR="005D5621" w:rsidRPr="00F21922" w:rsidRDefault="00F21922" w:rsidP="00793062">
      <w:pPr>
        <w:pStyle w:val="ListParagraph"/>
        <w:numPr>
          <w:ilvl w:val="0"/>
          <w:numId w:val="45"/>
        </w:numPr>
        <w:autoSpaceDE w:val="0"/>
        <w:autoSpaceDN w:val="0"/>
        <w:adjustRightInd w:val="0"/>
        <w:ind w:left="360"/>
        <w:rPr>
          <w:sz w:val="24"/>
          <w:szCs w:val="24"/>
        </w:rPr>
      </w:pPr>
      <w:r w:rsidRPr="00F21922">
        <w:rPr>
          <w:sz w:val="24"/>
          <w:szCs w:val="32"/>
        </w:rPr>
        <w:t>The programs NCLEX-RN graduation rates could be improve</w:t>
      </w:r>
      <w:r w:rsidR="00DF2E05">
        <w:rPr>
          <w:sz w:val="24"/>
          <w:szCs w:val="32"/>
        </w:rPr>
        <w:t xml:space="preserve">d. </w:t>
      </w:r>
    </w:p>
    <w:p w14:paraId="586BB85A" w14:textId="77777777" w:rsidR="001E73FD" w:rsidRPr="001E73FD" w:rsidRDefault="001E73FD" w:rsidP="00242A7E">
      <w:pPr>
        <w:pStyle w:val="ListParagraph"/>
        <w:autoSpaceDE w:val="0"/>
        <w:autoSpaceDN w:val="0"/>
        <w:adjustRightInd w:val="0"/>
        <w:rPr>
          <w:sz w:val="24"/>
          <w:szCs w:val="24"/>
        </w:rPr>
      </w:pPr>
    </w:p>
    <w:p w14:paraId="35DBFD9A" w14:textId="602C9664" w:rsidR="00DD57F3" w:rsidRPr="00DD57F3" w:rsidRDefault="0066025C" w:rsidP="00DD57F3">
      <w:pPr>
        <w:pBdr>
          <w:bottom w:val="single" w:sz="2" w:space="1" w:color="auto"/>
        </w:pBdr>
        <w:rPr>
          <w:rFonts w:eastAsia="Times New Roman" w:cstheme="minorHAnsi"/>
          <w:b/>
          <w:color w:val="3B5F4F"/>
          <w:sz w:val="28"/>
          <w:szCs w:val="28"/>
        </w:rPr>
      </w:pPr>
      <w:r>
        <w:rPr>
          <w:rFonts w:eastAsia="Times New Roman" w:cstheme="minorHAnsi"/>
          <w:b/>
          <w:color w:val="3B5F4F"/>
          <w:sz w:val="28"/>
          <w:szCs w:val="28"/>
        </w:rPr>
        <w:t>Complete List o</w:t>
      </w:r>
      <w:r w:rsidRPr="00DD57F3">
        <w:rPr>
          <w:rFonts w:eastAsia="Times New Roman" w:cstheme="minorHAnsi"/>
          <w:b/>
          <w:color w:val="3B5F4F"/>
          <w:sz w:val="28"/>
          <w:szCs w:val="28"/>
        </w:rPr>
        <w:t>f Recommendations</w:t>
      </w:r>
    </w:p>
    <w:p w14:paraId="539CCCF8" w14:textId="77777777" w:rsidR="00C959E2" w:rsidRPr="00D00C87" w:rsidRDefault="00C959E2" w:rsidP="00DD57F3">
      <w:pPr>
        <w:tabs>
          <w:tab w:val="left" w:pos="360"/>
          <w:tab w:val="left" w:pos="1560"/>
          <w:tab w:val="right" w:pos="5760"/>
        </w:tabs>
        <w:ind w:left="360"/>
        <w:rPr>
          <w:rFonts w:eastAsia="Times New Roman" w:cstheme="minorHAnsi"/>
          <w:i/>
          <w:color w:val="3B5F4F"/>
          <w:sz w:val="16"/>
          <w:szCs w:val="16"/>
        </w:rPr>
      </w:pPr>
    </w:p>
    <w:p w14:paraId="41701FA2" w14:textId="50E16701" w:rsidR="00C959E2" w:rsidRPr="00DD57F3" w:rsidRDefault="0066025C" w:rsidP="00DD57F3">
      <w:pPr>
        <w:tabs>
          <w:tab w:val="left" w:pos="1560"/>
          <w:tab w:val="right" w:pos="5760"/>
        </w:tabs>
        <w:rPr>
          <w:rFonts w:eastAsia="Times New Roman" w:cstheme="minorHAnsi"/>
          <w:color w:val="3B5F4F"/>
          <w:sz w:val="24"/>
          <w:szCs w:val="24"/>
          <w:u w:val="single"/>
        </w:rPr>
      </w:pPr>
      <w:r w:rsidRPr="00DD57F3">
        <w:rPr>
          <w:rFonts w:eastAsia="Times New Roman" w:cstheme="minorHAnsi"/>
          <w:b/>
          <w:color w:val="3B5F4F"/>
          <w:sz w:val="24"/>
          <w:szCs w:val="24"/>
          <w:u w:val="single"/>
        </w:rPr>
        <w:t>Recommendation</w:t>
      </w:r>
      <w:r w:rsidR="00C959E2" w:rsidRPr="00DD57F3">
        <w:rPr>
          <w:rFonts w:eastAsia="Times New Roman" w:cstheme="minorHAnsi"/>
          <w:b/>
          <w:color w:val="3B5F4F"/>
          <w:sz w:val="24"/>
          <w:szCs w:val="24"/>
          <w:u w:val="single"/>
        </w:rPr>
        <w:t xml:space="preserve"> 1</w:t>
      </w:r>
    </w:p>
    <w:p w14:paraId="3D438CC6" w14:textId="6F8FFF32" w:rsidR="009E0139" w:rsidRDefault="00DA3472" w:rsidP="00DA3472">
      <w:pPr>
        <w:spacing w:after="160" w:line="259" w:lineRule="auto"/>
        <w:contextualSpacing/>
        <w:rPr>
          <w:rFonts w:eastAsia="Times New Roman" w:cstheme="minorHAnsi"/>
          <w:b/>
          <w:color w:val="3B5F4F"/>
          <w:sz w:val="24"/>
          <w:szCs w:val="24"/>
          <w:lang w:eastAsia="zh-CN"/>
        </w:rPr>
      </w:pPr>
      <w:r w:rsidRPr="00DA3472">
        <w:rPr>
          <w:rFonts w:eastAsia="Times New Roman" w:cstheme="minorHAnsi"/>
          <w:b/>
          <w:color w:val="3B5F4F"/>
          <w:sz w:val="24"/>
          <w:szCs w:val="24"/>
          <w:lang w:eastAsia="zh-CN"/>
        </w:rPr>
        <w:t xml:space="preserve">That </w:t>
      </w:r>
      <w:r w:rsidR="008D044F">
        <w:rPr>
          <w:rFonts w:eastAsia="Times New Roman" w:cstheme="minorHAnsi"/>
          <w:b/>
          <w:color w:val="3B5F4F"/>
          <w:sz w:val="24"/>
          <w:szCs w:val="24"/>
          <w:lang w:eastAsia="zh-CN"/>
        </w:rPr>
        <w:t xml:space="preserve">curriculum </w:t>
      </w:r>
      <w:r w:rsidR="00FA680C">
        <w:rPr>
          <w:rFonts w:eastAsia="Times New Roman" w:cstheme="minorHAnsi"/>
          <w:b/>
          <w:color w:val="3B5F4F"/>
          <w:sz w:val="24"/>
          <w:szCs w:val="24"/>
          <w:lang w:eastAsia="zh-CN"/>
        </w:rPr>
        <w:t xml:space="preserve">redevelopment </w:t>
      </w:r>
      <w:r w:rsidR="00811016">
        <w:rPr>
          <w:rFonts w:eastAsia="Times New Roman" w:cstheme="minorHAnsi"/>
          <w:b/>
          <w:color w:val="3B5F4F"/>
          <w:sz w:val="24"/>
          <w:szCs w:val="24"/>
          <w:lang w:eastAsia="zh-CN"/>
        </w:rPr>
        <w:t xml:space="preserve">take place to </w:t>
      </w:r>
      <w:r w:rsidR="00FA680C">
        <w:rPr>
          <w:rFonts w:eastAsia="Times New Roman" w:cstheme="minorHAnsi"/>
          <w:b/>
          <w:color w:val="3B5F4F"/>
          <w:sz w:val="24"/>
          <w:szCs w:val="24"/>
          <w:lang w:eastAsia="zh-CN"/>
        </w:rPr>
        <w:t xml:space="preserve">address gaps in existing curriculum and continue to maintain a focus on rural nursing, gerontology, aging, </w:t>
      </w:r>
      <w:r w:rsidR="00EE5CA6">
        <w:rPr>
          <w:rFonts w:eastAsia="Times New Roman" w:cstheme="minorHAnsi"/>
          <w:b/>
          <w:color w:val="3B5F4F"/>
          <w:sz w:val="24"/>
          <w:szCs w:val="24"/>
          <w:lang w:eastAsia="zh-CN"/>
        </w:rPr>
        <w:t>I</w:t>
      </w:r>
      <w:r w:rsidR="00FA680C">
        <w:rPr>
          <w:rFonts w:eastAsia="Times New Roman" w:cstheme="minorHAnsi"/>
          <w:b/>
          <w:color w:val="3B5F4F"/>
          <w:sz w:val="24"/>
          <w:szCs w:val="24"/>
          <w:lang w:eastAsia="zh-CN"/>
        </w:rPr>
        <w:t>ndigenous health and social justice.</w:t>
      </w:r>
    </w:p>
    <w:p w14:paraId="0C032D13" w14:textId="77777777" w:rsidR="009E0139" w:rsidRDefault="009E0139" w:rsidP="00DA3472">
      <w:pPr>
        <w:spacing w:after="160" w:line="259" w:lineRule="auto"/>
        <w:contextualSpacing/>
        <w:rPr>
          <w:rFonts w:eastAsia="Times New Roman" w:cstheme="minorHAnsi"/>
          <w:b/>
          <w:color w:val="3B5F4F"/>
          <w:sz w:val="24"/>
          <w:szCs w:val="24"/>
          <w:lang w:eastAsia="zh-CN"/>
        </w:rPr>
      </w:pPr>
    </w:p>
    <w:p w14:paraId="44894566"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36314F71" w14:textId="2E2F1786" w:rsidR="00C12614" w:rsidRPr="007F6E4B" w:rsidRDefault="00C12614" w:rsidP="00C12614">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 xml:space="preserve">In the </w:t>
      </w:r>
      <w:proofErr w:type="gramStart"/>
      <w:r w:rsidRPr="007F6E4B">
        <w:rPr>
          <w:rFonts w:eastAsia="Times New Roman" w:cstheme="minorHAnsi"/>
          <w:color w:val="000000" w:themeColor="text1"/>
          <w:sz w:val="24"/>
          <w:szCs w:val="24"/>
        </w:rPr>
        <w:t>Spring</w:t>
      </w:r>
      <w:proofErr w:type="gramEnd"/>
      <w:r w:rsidRPr="007F6E4B">
        <w:rPr>
          <w:rFonts w:eastAsia="Times New Roman" w:cstheme="minorHAnsi"/>
          <w:color w:val="000000" w:themeColor="text1"/>
          <w:sz w:val="24"/>
          <w:szCs w:val="24"/>
        </w:rPr>
        <w:t xml:space="preserve"> of 2017, members of the </w:t>
      </w:r>
      <w:r w:rsidR="00EE5CA6">
        <w:rPr>
          <w:rFonts w:eastAsia="Times New Roman" w:cstheme="minorHAnsi"/>
          <w:color w:val="000000" w:themeColor="text1"/>
          <w:sz w:val="24"/>
          <w:szCs w:val="24"/>
        </w:rPr>
        <w:t xml:space="preserve">School </w:t>
      </w:r>
      <w:r w:rsidRPr="007F6E4B">
        <w:rPr>
          <w:rFonts w:eastAsia="Times New Roman" w:cstheme="minorHAnsi"/>
          <w:color w:val="000000" w:themeColor="text1"/>
          <w:sz w:val="24"/>
          <w:szCs w:val="24"/>
        </w:rPr>
        <w:t xml:space="preserve">identified the need to review the currency and coherence of curriculum. </w:t>
      </w:r>
      <w:r w:rsidR="00E83DEA">
        <w:rPr>
          <w:rFonts w:eastAsia="Times New Roman" w:cstheme="minorHAnsi"/>
          <w:color w:val="000000" w:themeColor="text1"/>
          <w:sz w:val="24"/>
          <w:szCs w:val="24"/>
        </w:rPr>
        <w:t xml:space="preserve">The School consulted with curriculum experts to support TFSON’s Curriculum Committee in the curriculum revision process. </w:t>
      </w:r>
      <w:r w:rsidR="00EE5CA6">
        <w:rPr>
          <w:rFonts w:eastAsia="Times New Roman" w:cstheme="minorHAnsi"/>
          <w:color w:val="000000" w:themeColor="text1"/>
          <w:sz w:val="24"/>
          <w:szCs w:val="24"/>
        </w:rPr>
        <w:t>The C</w:t>
      </w:r>
      <w:r w:rsidRPr="007F6E4B">
        <w:rPr>
          <w:rFonts w:eastAsia="Times New Roman" w:cstheme="minorHAnsi"/>
          <w:color w:val="000000" w:themeColor="text1"/>
          <w:sz w:val="24"/>
          <w:szCs w:val="24"/>
        </w:rPr>
        <w:t xml:space="preserve">urriculum </w:t>
      </w:r>
      <w:r w:rsidR="00EE5CA6">
        <w:rPr>
          <w:rFonts w:eastAsia="Times New Roman" w:cstheme="minorHAnsi"/>
          <w:color w:val="000000" w:themeColor="text1"/>
          <w:sz w:val="24"/>
          <w:szCs w:val="24"/>
        </w:rPr>
        <w:t>C</w:t>
      </w:r>
      <w:r w:rsidRPr="007F6E4B">
        <w:rPr>
          <w:rFonts w:eastAsia="Times New Roman" w:cstheme="minorHAnsi"/>
          <w:color w:val="000000" w:themeColor="text1"/>
          <w:sz w:val="24"/>
          <w:szCs w:val="24"/>
        </w:rPr>
        <w:t xml:space="preserve">ommittee agreed on </w:t>
      </w:r>
      <w:r w:rsidR="00EE5CA6">
        <w:rPr>
          <w:rFonts w:eastAsia="Times New Roman" w:cstheme="minorHAnsi"/>
          <w:color w:val="000000" w:themeColor="text1"/>
          <w:sz w:val="24"/>
          <w:szCs w:val="24"/>
        </w:rPr>
        <w:t>n</w:t>
      </w:r>
      <w:r w:rsidRPr="007F6E4B">
        <w:rPr>
          <w:rFonts w:eastAsia="Times New Roman" w:cstheme="minorHAnsi"/>
          <w:color w:val="000000" w:themeColor="text1"/>
          <w:sz w:val="24"/>
          <w:szCs w:val="24"/>
        </w:rPr>
        <w:t>ew curriculum values and philosophical approaches, key professional abilities, core curriculum concepts and principal teaching/learning concepts.</w:t>
      </w:r>
      <w:r w:rsidR="006B63B6">
        <w:rPr>
          <w:rFonts w:eastAsia="Times New Roman" w:cstheme="minorHAnsi"/>
          <w:color w:val="000000" w:themeColor="text1"/>
          <w:sz w:val="24"/>
          <w:szCs w:val="24"/>
        </w:rPr>
        <w:t xml:space="preserve"> </w:t>
      </w:r>
      <w:r w:rsidR="00E83DEA">
        <w:rPr>
          <w:rFonts w:eastAsia="Times New Roman" w:cstheme="minorHAnsi"/>
          <w:color w:val="000000" w:themeColor="text1"/>
          <w:sz w:val="24"/>
          <w:szCs w:val="24"/>
        </w:rPr>
        <w:t xml:space="preserve">The School will use relational inquiry as the conceptual framework for curriculum and the next task will be to identify the philosophical lenses and key concepts associated with translating the relational inquiry framework into nursing theory and nursing practice courses in the new curriculum. </w:t>
      </w:r>
      <w:r w:rsidRPr="007F6E4B">
        <w:rPr>
          <w:rFonts w:eastAsia="Times New Roman" w:cstheme="minorHAnsi"/>
          <w:color w:val="000000" w:themeColor="text1"/>
          <w:sz w:val="24"/>
          <w:szCs w:val="24"/>
        </w:rPr>
        <w:t>The five foci</w:t>
      </w:r>
      <w:r w:rsidR="00E83DEA">
        <w:rPr>
          <w:rFonts w:eastAsia="Times New Roman" w:cstheme="minorHAnsi"/>
          <w:color w:val="000000" w:themeColor="text1"/>
          <w:sz w:val="24"/>
          <w:szCs w:val="24"/>
        </w:rPr>
        <w:t>, I</w:t>
      </w:r>
      <w:r w:rsidRPr="007F6E4B">
        <w:rPr>
          <w:rFonts w:eastAsia="Times New Roman" w:cstheme="minorHAnsi"/>
          <w:color w:val="000000" w:themeColor="text1"/>
          <w:sz w:val="24"/>
          <w:szCs w:val="24"/>
        </w:rPr>
        <w:t>ndigenous communities, women's health and gender, rural health, aging and mental health</w:t>
      </w:r>
      <w:r w:rsidR="00E83DEA">
        <w:rPr>
          <w:rFonts w:eastAsia="Times New Roman" w:cstheme="minorHAnsi"/>
          <w:color w:val="000000" w:themeColor="text1"/>
          <w:sz w:val="24"/>
          <w:szCs w:val="24"/>
        </w:rPr>
        <w:t>,</w:t>
      </w:r>
      <w:r w:rsidRPr="007F6E4B">
        <w:rPr>
          <w:rFonts w:eastAsia="Times New Roman" w:cstheme="minorHAnsi"/>
          <w:color w:val="000000" w:themeColor="text1"/>
          <w:sz w:val="24"/>
          <w:szCs w:val="24"/>
        </w:rPr>
        <w:t xml:space="preserve"> will continue to be present in the new curriculum.</w:t>
      </w:r>
      <w:r w:rsidR="00E83DEA">
        <w:rPr>
          <w:rFonts w:eastAsia="Times New Roman" w:cstheme="minorHAnsi"/>
          <w:color w:val="000000" w:themeColor="text1"/>
          <w:sz w:val="24"/>
          <w:szCs w:val="24"/>
        </w:rPr>
        <w:t xml:space="preserve"> The target date to implement the first year of the new curriculum is </w:t>
      </w:r>
      <w:proofErr w:type="gramStart"/>
      <w:r w:rsidR="00E83DEA">
        <w:rPr>
          <w:rFonts w:eastAsia="Times New Roman" w:cstheme="minorHAnsi"/>
          <w:color w:val="000000" w:themeColor="text1"/>
          <w:sz w:val="24"/>
          <w:szCs w:val="24"/>
        </w:rPr>
        <w:t>Fall</w:t>
      </w:r>
      <w:proofErr w:type="gramEnd"/>
      <w:r w:rsidR="00E83DEA">
        <w:rPr>
          <w:rFonts w:eastAsia="Times New Roman" w:cstheme="minorHAnsi"/>
          <w:color w:val="000000" w:themeColor="text1"/>
          <w:sz w:val="24"/>
          <w:szCs w:val="24"/>
        </w:rPr>
        <w:t xml:space="preserve"> 2021.</w:t>
      </w:r>
    </w:p>
    <w:p w14:paraId="0C94F2D0" w14:textId="77777777" w:rsidR="00C12614" w:rsidRPr="007F6E4B" w:rsidRDefault="00C12614" w:rsidP="00C12614">
      <w:pPr>
        <w:autoSpaceDE w:val="0"/>
        <w:autoSpaceDN w:val="0"/>
        <w:adjustRightInd w:val="0"/>
        <w:rPr>
          <w:rFonts w:eastAsia="Times New Roman" w:cstheme="minorHAnsi"/>
          <w:color w:val="000000" w:themeColor="text1"/>
          <w:sz w:val="24"/>
          <w:szCs w:val="24"/>
        </w:rPr>
      </w:pPr>
    </w:p>
    <w:p w14:paraId="45666814" w14:textId="580C6195" w:rsidR="00C959E2" w:rsidRPr="00DD57F3" w:rsidRDefault="0066025C" w:rsidP="00DD57F3">
      <w:pPr>
        <w:suppressAutoHyphens/>
        <w:ind w:right="481"/>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w:t>
      </w:r>
      <w:r w:rsidR="00C959E2" w:rsidRPr="00DD57F3">
        <w:rPr>
          <w:rFonts w:eastAsia="Times New Roman" w:cstheme="minorHAnsi"/>
          <w:b/>
          <w:color w:val="3B5F4F"/>
          <w:sz w:val="24"/>
          <w:szCs w:val="24"/>
          <w:u w:val="single"/>
          <w:lang w:eastAsia="zh-CN"/>
        </w:rPr>
        <w:t xml:space="preserve"> 2</w:t>
      </w:r>
    </w:p>
    <w:p w14:paraId="7248CD69" w14:textId="70C21F8E" w:rsidR="00DA3472" w:rsidRDefault="009E0139" w:rsidP="00DA3472">
      <w:pPr>
        <w:spacing w:after="160" w:line="259" w:lineRule="auto"/>
        <w:contextualSpacing/>
        <w:rPr>
          <w:rFonts w:eastAsia="Times New Roman" w:cstheme="minorHAnsi"/>
          <w:b/>
          <w:color w:val="3B5F4F"/>
          <w:sz w:val="24"/>
          <w:szCs w:val="24"/>
          <w:lang w:eastAsia="zh-CN"/>
        </w:rPr>
      </w:pPr>
      <w:r>
        <w:rPr>
          <w:rFonts w:eastAsia="Times New Roman" w:cstheme="minorHAnsi"/>
          <w:b/>
          <w:color w:val="3B5F4F"/>
          <w:sz w:val="24"/>
          <w:szCs w:val="24"/>
          <w:lang w:eastAsia="zh-CN"/>
        </w:rPr>
        <w:t>T</w:t>
      </w:r>
      <w:r w:rsidR="00DA3472" w:rsidRPr="00DA3472">
        <w:rPr>
          <w:rFonts w:eastAsia="Times New Roman" w:cstheme="minorHAnsi"/>
          <w:b/>
          <w:color w:val="3B5F4F"/>
          <w:sz w:val="24"/>
          <w:szCs w:val="24"/>
          <w:lang w:eastAsia="zh-CN"/>
        </w:rPr>
        <w:t xml:space="preserve">hat, as </w:t>
      </w:r>
      <w:r>
        <w:rPr>
          <w:rFonts w:eastAsia="Times New Roman" w:cstheme="minorHAnsi"/>
          <w:b/>
          <w:color w:val="3B5F4F"/>
          <w:sz w:val="24"/>
          <w:szCs w:val="24"/>
          <w:lang w:eastAsia="zh-CN"/>
        </w:rPr>
        <w:t>part of curriculum renewal, the program consider adding</w:t>
      </w:r>
      <w:r w:rsidR="00DA3472" w:rsidRPr="00DA3472">
        <w:rPr>
          <w:rFonts w:eastAsia="Times New Roman" w:cstheme="minorHAnsi"/>
          <w:b/>
          <w:color w:val="3B5F4F"/>
          <w:sz w:val="24"/>
          <w:szCs w:val="24"/>
          <w:lang w:eastAsia="zh-CN"/>
        </w:rPr>
        <w:t xml:space="preserve"> more </w:t>
      </w:r>
      <w:r>
        <w:rPr>
          <w:rFonts w:eastAsia="Times New Roman" w:cstheme="minorHAnsi"/>
          <w:b/>
          <w:color w:val="3B5F4F"/>
          <w:sz w:val="24"/>
          <w:szCs w:val="24"/>
          <w:lang w:eastAsia="zh-CN"/>
        </w:rPr>
        <w:t xml:space="preserve">content and focus on </w:t>
      </w:r>
      <w:r w:rsidR="0009003D">
        <w:rPr>
          <w:rFonts w:eastAsia="Times New Roman" w:cstheme="minorHAnsi"/>
          <w:b/>
          <w:color w:val="3B5F4F"/>
          <w:sz w:val="24"/>
          <w:szCs w:val="24"/>
          <w:lang w:eastAsia="zh-CN"/>
        </w:rPr>
        <w:t xml:space="preserve">patient </w:t>
      </w:r>
      <w:r>
        <w:rPr>
          <w:rFonts w:eastAsia="Times New Roman" w:cstheme="minorHAnsi"/>
          <w:b/>
          <w:color w:val="3B5F4F"/>
          <w:sz w:val="24"/>
          <w:szCs w:val="24"/>
          <w:lang w:eastAsia="zh-CN"/>
        </w:rPr>
        <w:t>assessment; s</w:t>
      </w:r>
      <w:r w:rsidR="00DA3472" w:rsidRPr="00DA3472">
        <w:rPr>
          <w:rFonts w:eastAsia="Times New Roman" w:cstheme="minorHAnsi"/>
          <w:b/>
          <w:color w:val="3B5F4F"/>
          <w:sz w:val="24"/>
          <w:szCs w:val="24"/>
          <w:lang w:eastAsia="zh-CN"/>
        </w:rPr>
        <w:t>ome focused content on pediatric nursing</w:t>
      </w:r>
      <w:r>
        <w:rPr>
          <w:rFonts w:eastAsia="Times New Roman" w:cstheme="minorHAnsi"/>
          <w:b/>
          <w:color w:val="3B5F4F"/>
          <w:sz w:val="24"/>
          <w:szCs w:val="24"/>
          <w:lang w:eastAsia="zh-CN"/>
        </w:rPr>
        <w:t>; and the integration of a lifespan approach</w:t>
      </w:r>
      <w:r w:rsidR="00DA3472" w:rsidRPr="00DA3472">
        <w:rPr>
          <w:rFonts w:eastAsia="Times New Roman" w:cstheme="minorHAnsi"/>
          <w:b/>
          <w:color w:val="3B5F4F"/>
          <w:sz w:val="24"/>
          <w:szCs w:val="24"/>
          <w:lang w:eastAsia="zh-CN"/>
        </w:rPr>
        <w:t xml:space="preserve">. </w:t>
      </w:r>
    </w:p>
    <w:p w14:paraId="4C42B00B" w14:textId="77777777" w:rsidR="009E0139" w:rsidRDefault="009E0139" w:rsidP="00DA3472">
      <w:pPr>
        <w:spacing w:after="160" w:line="259" w:lineRule="auto"/>
        <w:contextualSpacing/>
        <w:rPr>
          <w:rFonts w:eastAsia="Times New Roman" w:cstheme="minorHAnsi"/>
          <w:b/>
          <w:color w:val="3B5F4F"/>
          <w:sz w:val="24"/>
          <w:szCs w:val="24"/>
          <w:lang w:eastAsia="zh-CN"/>
        </w:rPr>
      </w:pPr>
    </w:p>
    <w:p w14:paraId="15316B89"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4AEE52B7" w14:textId="65AA9CDF" w:rsidR="00C12614" w:rsidRPr="007F6E4B" w:rsidRDefault="00E83DEA" w:rsidP="00C12614">
      <w:pPr>
        <w:autoSpaceDE w:val="0"/>
        <w:autoSpaceDN w:val="0"/>
        <w:adjustRightInd w:val="0"/>
        <w:rPr>
          <w:rFonts w:eastAsia="Times New Roman" w:cstheme="minorHAnsi"/>
          <w:color w:val="000000" w:themeColor="text1"/>
          <w:sz w:val="24"/>
          <w:szCs w:val="24"/>
        </w:rPr>
      </w:pPr>
      <w:r>
        <w:rPr>
          <w:rFonts w:eastAsia="Times New Roman" w:cstheme="minorHAnsi"/>
          <w:color w:val="000000" w:themeColor="text1"/>
          <w:sz w:val="24"/>
          <w:szCs w:val="24"/>
        </w:rPr>
        <w:t>As part of the curriculum revisions, the School is considering the additions of a</w:t>
      </w:r>
      <w:r w:rsidR="00C12614" w:rsidRPr="007F6E4B">
        <w:rPr>
          <w:rFonts w:eastAsia="Times New Roman" w:cstheme="minorHAnsi"/>
          <w:color w:val="000000" w:themeColor="text1"/>
          <w:sz w:val="24"/>
          <w:szCs w:val="24"/>
        </w:rPr>
        <w:t xml:space="preserve"> stand-alone </w:t>
      </w:r>
      <w:r w:rsidR="0009003D">
        <w:rPr>
          <w:rFonts w:eastAsia="Times New Roman" w:cstheme="minorHAnsi"/>
          <w:color w:val="000000" w:themeColor="text1"/>
          <w:sz w:val="24"/>
          <w:szCs w:val="24"/>
        </w:rPr>
        <w:t xml:space="preserve">patient </w:t>
      </w:r>
      <w:r w:rsidR="00C12614" w:rsidRPr="007F6E4B">
        <w:rPr>
          <w:rFonts w:eastAsia="Times New Roman" w:cstheme="minorHAnsi"/>
          <w:color w:val="000000" w:themeColor="text1"/>
          <w:sz w:val="24"/>
          <w:szCs w:val="24"/>
        </w:rPr>
        <w:t xml:space="preserve">assessment course </w:t>
      </w:r>
      <w:r>
        <w:rPr>
          <w:rFonts w:eastAsia="Times New Roman" w:cstheme="minorHAnsi"/>
          <w:color w:val="000000" w:themeColor="text1"/>
          <w:sz w:val="24"/>
          <w:szCs w:val="24"/>
        </w:rPr>
        <w:t xml:space="preserve">and </w:t>
      </w:r>
      <w:r w:rsidR="0032681F">
        <w:rPr>
          <w:rFonts w:eastAsia="Times New Roman" w:cstheme="minorHAnsi"/>
          <w:color w:val="000000" w:themeColor="text1"/>
          <w:sz w:val="24"/>
          <w:szCs w:val="24"/>
        </w:rPr>
        <w:t xml:space="preserve">a course in </w:t>
      </w:r>
      <w:r w:rsidR="00C12614" w:rsidRPr="007F6E4B">
        <w:rPr>
          <w:rFonts w:eastAsia="Times New Roman" w:cstheme="minorHAnsi"/>
          <w:color w:val="000000" w:themeColor="text1"/>
          <w:sz w:val="24"/>
          <w:szCs w:val="24"/>
        </w:rPr>
        <w:t>growth and development theory</w:t>
      </w:r>
      <w:r w:rsidR="0032681F">
        <w:rPr>
          <w:rFonts w:eastAsia="Times New Roman" w:cstheme="minorHAnsi"/>
          <w:color w:val="000000" w:themeColor="text1"/>
          <w:sz w:val="24"/>
          <w:szCs w:val="24"/>
        </w:rPr>
        <w:t>.</w:t>
      </w:r>
      <w:r w:rsidR="00C12614" w:rsidRPr="007F6E4B">
        <w:rPr>
          <w:rFonts w:eastAsia="Times New Roman" w:cstheme="minorHAnsi"/>
          <w:color w:val="000000" w:themeColor="text1"/>
          <w:sz w:val="24"/>
          <w:szCs w:val="24"/>
        </w:rPr>
        <w:t xml:space="preserve"> A lifespan approach would include more focused content related to care of children and families. </w:t>
      </w:r>
      <w:r w:rsidR="0032681F">
        <w:rPr>
          <w:rFonts w:eastAsia="Times New Roman" w:cstheme="minorHAnsi"/>
          <w:color w:val="000000" w:themeColor="text1"/>
          <w:sz w:val="24"/>
          <w:szCs w:val="24"/>
        </w:rPr>
        <w:t>N</w:t>
      </w:r>
      <w:r w:rsidR="00C12614" w:rsidRPr="007F6E4B">
        <w:rPr>
          <w:rFonts w:eastAsia="Times New Roman" w:cstheme="minorHAnsi"/>
          <w:color w:val="000000" w:themeColor="text1"/>
          <w:sz w:val="24"/>
          <w:szCs w:val="24"/>
        </w:rPr>
        <w:t>ew curriculum</w:t>
      </w:r>
      <w:r w:rsidR="0032681F">
        <w:rPr>
          <w:rFonts w:eastAsia="Times New Roman" w:cstheme="minorHAnsi"/>
          <w:color w:val="000000" w:themeColor="text1"/>
          <w:sz w:val="24"/>
          <w:szCs w:val="24"/>
        </w:rPr>
        <w:t xml:space="preserve"> will</w:t>
      </w:r>
      <w:r w:rsidR="00C12614" w:rsidRPr="007F6E4B">
        <w:rPr>
          <w:rFonts w:eastAsia="Times New Roman" w:cstheme="minorHAnsi"/>
          <w:color w:val="000000" w:themeColor="text1"/>
          <w:sz w:val="24"/>
          <w:szCs w:val="24"/>
        </w:rPr>
        <w:t xml:space="preserve"> aim to deliberately integrate lifespan considerations into more courses. </w:t>
      </w:r>
    </w:p>
    <w:p w14:paraId="3C3D0A47" w14:textId="77777777" w:rsidR="00C12614" w:rsidRPr="007F6E4B" w:rsidRDefault="00C12614" w:rsidP="00C12614">
      <w:pPr>
        <w:autoSpaceDE w:val="0"/>
        <w:autoSpaceDN w:val="0"/>
        <w:adjustRightInd w:val="0"/>
        <w:rPr>
          <w:rFonts w:eastAsia="Times New Roman" w:cstheme="minorHAnsi"/>
          <w:color w:val="000000" w:themeColor="text1"/>
          <w:sz w:val="24"/>
          <w:szCs w:val="24"/>
        </w:rPr>
      </w:pPr>
    </w:p>
    <w:p w14:paraId="279C1105" w14:textId="091A1FFF" w:rsidR="00C12614" w:rsidRPr="007F6E4B" w:rsidRDefault="00C12614" w:rsidP="00C12614">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 xml:space="preserve">The 2018 NCLEX results have recently been made public and while </w:t>
      </w:r>
      <w:r w:rsidR="0032681F">
        <w:rPr>
          <w:rFonts w:eastAsia="Times New Roman" w:cstheme="minorHAnsi"/>
          <w:color w:val="000000" w:themeColor="text1"/>
          <w:sz w:val="24"/>
          <w:szCs w:val="24"/>
        </w:rPr>
        <w:t xml:space="preserve">the University’s </w:t>
      </w:r>
      <w:r w:rsidRPr="007F6E4B">
        <w:rPr>
          <w:rFonts w:eastAsia="Times New Roman" w:cstheme="minorHAnsi"/>
          <w:color w:val="000000" w:themeColor="text1"/>
          <w:sz w:val="24"/>
          <w:szCs w:val="24"/>
        </w:rPr>
        <w:t xml:space="preserve">pass rates were below average in 2017 they are above average for both “first writes” and for all writers the year in 2018. </w:t>
      </w:r>
    </w:p>
    <w:p w14:paraId="7F2DDAD8" w14:textId="3B7AE672" w:rsidR="00C12614" w:rsidRPr="007F6E4B" w:rsidRDefault="00C12614" w:rsidP="00C12614">
      <w:pPr>
        <w:autoSpaceDE w:val="0"/>
        <w:autoSpaceDN w:val="0"/>
        <w:adjustRightInd w:val="0"/>
        <w:rPr>
          <w:rFonts w:eastAsia="Times New Roman" w:cstheme="minorHAnsi"/>
          <w:color w:val="000000" w:themeColor="text1"/>
          <w:sz w:val="24"/>
          <w:szCs w:val="24"/>
        </w:rPr>
      </w:pPr>
    </w:p>
    <w:p w14:paraId="284609AF" w14:textId="02DE2491" w:rsidR="00946B2F" w:rsidRPr="007F6E4B" w:rsidRDefault="006B63B6" w:rsidP="00C12614">
      <w:pPr>
        <w:autoSpaceDE w:val="0"/>
        <w:autoSpaceDN w:val="0"/>
        <w:adjustRightInd w:val="0"/>
        <w:rPr>
          <w:rFonts w:eastAsia="Times New Roman" w:cstheme="minorHAnsi"/>
          <w:color w:val="000000" w:themeColor="text1"/>
          <w:sz w:val="24"/>
          <w:szCs w:val="24"/>
        </w:rPr>
      </w:pPr>
      <w:r>
        <w:rPr>
          <w:rFonts w:eastAsia="Times New Roman" w:cstheme="minorHAnsi"/>
          <w:color w:val="000000" w:themeColor="text1"/>
          <w:sz w:val="24"/>
          <w:szCs w:val="24"/>
        </w:rPr>
        <w:lastRenderedPageBreak/>
        <w:t>T</w:t>
      </w:r>
      <w:r w:rsidR="00C12614" w:rsidRPr="007F6E4B">
        <w:rPr>
          <w:rFonts w:eastAsia="Times New Roman" w:cstheme="minorHAnsi"/>
          <w:color w:val="000000" w:themeColor="text1"/>
          <w:sz w:val="24"/>
          <w:szCs w:val="24"/>
        </w:rPr>
        <w:t xml:space="preserve">o </w:t>
      </w:r>
      <w:r w:rsidR="0032681F">
        <w:rPr>
          <w:rFonts w:eastAsia="Times New Roman" w:cstheme="minorHAnsi"/>
          <w:color w:val="000000" w:themeColor="text1"/>
          <w:sz w:val="24"/>
          <w:szCs w:val="24"/>
        </w:rPr>
        <w:t xml:space="preserve">further </w:t>
      </w:r>
      <w:r w:rsidR="00C12614" w:rsidRPr="007F6E4B">
        <w:rPr>
          <w:rFonts w:eastAsia="Times New Roman" w:cstheme="minorHAnsi"/>
          <w:color w:val="000000" w:themeColor="text1"/>
          <w:sz w:val="24"/>
          <w:szCs w:val="24"/>
        </w:rPr>
        <w:t>improve NCLEX_RN pass rates</w:t>
      </w:r>
      <w:r w:rsidR="0032681F">
        <w:rPr>
          <w:rFonts w:eastAsia="Times New Roman" w:cstheme="minorHAnsi"/>
          <w:color w:val="000000" w:themeColor="text1"/>
          <w:sz w:val="24"/>
          <w:szCs w:val="24"/>
        </w:rPr>
        <w:t xml:space="preserve">, </w:t>
      </w:r>
      <w:r w:rsidR="00C12614" w:rsidRPr="007F6E4B">
        <w:rPr>
          <w:rFonts w:eastAsia="Times New Roman" w:cstheme="minorHAnsi"/>
          <w:color w:val="000000" w:themeColor="text1"/>
          <w:sz w:val="24"/>
          <w:szCs w:val="24"/>
        </w:rPr>
        <w:t xml:space="preserve">curriculum </w:t>
      </w:r>
      <w:r w:rsidR="0032681F">
        <w:rPr>
          <w:rFonts w:eastAsia="Times New Roman" w:cstheme="minorHAnsi"/>
          <w:color w:val="000000" w:themeColor="text1"/>
          <w:sz w:val="24"/>
          <w:szCs w:val="24"/>
        </w:rPr>
        <w:t xml:space="preserve">revisions will </w:t>
      </w:r>
      <w:r w:rsidR="00C12614" w:rsidRPr="007F6E4B">
        <w:rPr>
          <w:rFonts w:eastAsia="Times New Roman" w:cstheme="minorHAnsi"/>
          <w:color w:val="000000" w:themeColor="text1"/>
          <w:sz w:val="24"/>
          <w:szCs w:val="24"/>
        </w:rPr>
        <w:t>include more emphasis on the categories of nursing process</w:t>
      </w:r>
      <w:r w:rsidR="0032681F">
        <w:rPr>
          <w:rFonts w:eastAsia="Times New Roman" w:cstheme="minorHAnsi"/>
          <w:color w:val="000000" w:themeColor="text1"/>
          <w:sz w:val="24"/>
          <w:szCs w:val="24"/>
        </w:rPr>
        <w:t xml:space="preserve"> </w:t>
      </w:r>
      <w:r w:rsidR="00C12614" w:rsidRPr="007F6E4B">
        <w:rPr>
          <w:rFonts w:eastAsia="Times New Roman" w:cstheme="minorHAnsi"/>
          <w:color w:val="000000" w:themeColor="text1"/>
          <w:sz w:val="24"/>
          <w:szCs w:val="24"/>
        </w:rPr>
        <w:t>(including</w:t>
      </w:r>
      <w:r>
        <w:rPr>
          <w:rFonts w:eastAsia="Times New Roman" w:cstheme="minorHAnsi"/>
          <w:color w:val="000000" w:themeColor="text1"/>
          <w:sz w:val="24"/>
          <w:szCs w:val="24"/>
        </w:rPr>
        <w:t xml:space="preserve"> patient</w:t>
      </w:r>
      <w:r w:rsidR="00C12614" w:rsidRPr="007F6E4B">
        <w:rPr>
          <w:rFonts w:eastAsia="Times New Roman" w:cstheme="minorHAnsi"/>
          <w:color w:val="000000" w:themeColor="text1"/>
          <w:sz w:val="24"/>
          <w:szCs w:val="24"/>
        </w:rPr>
        <w:t xml:space="preserve"> assessment), client needs, clinical concepts and specialty areas.</w:t>
      </w:r>
    </w:p>
    <w:p w14:paraId="388A4936" w14:textId="77777777" w:rsidR="00C12614" w:rsidRPr="00DD57F3" w:rsidRDefault="00C12614" w:rsidP="00C12614">
      <w:pPr>
        <w:autoSpaceDE w:val="0"/>
        <w:autoSpaceDN w:val="0"/>
        <w:adjustRightInd w:val="0"/>
        <w:rPr>
          <w:color w:val="000000" w:themeColor="text1"/>
          <w:sz w:val="24"/>
          <w:szCs w:val="24"/>
        </w:rPr>
      </w:pPr>
    </w:p>
    <w:p w14:paraId="21EE4D53" w14:textId="3BE08828" w:rsidR="00C959E2" w:rsidRPr="00DD57F3" w:rsidRDefault="0066025C" w:rsidP="00DD57F3">
      <w:pPr>
        <w:tabs>
          <w:tab w:val="right" w:pos="720"/>
        </w:tab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w:t>
      </w:r>
      <w:r w:rsidR="00C959E2" w:rsidRPr="00DD57F3">
        <w:rPr>
          <w:rFonts w:eastAsia="Times New Roman" w:cstheme="minorHAnsi"/>
          <w:b/>
          <w:color w:val="3B5F4F"/>
          <w:sz w:val="24"/>
          <w:szCs w:val="24"/>
          <w:u w:val="single"/>
          <w:lang w:eastAsia="zh-CN"/>
        </w:rPr>
        <w:t xml:space="preserve"> 3</w:t>
      </w:r>
    </w:p>
    <w:p w14:paraId="1CEF8B29" w14:textId="2C734EA4" w:rsidR="00DA3472" w:rsidRDefault="009E0139" w:rsidP="00DA3472">
      <w:pPr>
        <w:spacing w:after="160" w:line="259" w:lineRule="auto"/>
        <w:contextualSpacing/>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as part of the curriculum renewal, </w:t>
      </w:r>
      <w:r w:rsidR="00DA3472" w:rsidRPr="00DA3472">
        <w:rPr>
          <w:rFonts w:eastAsia="Times New Roman" w:cstheme="minorHAnsi"/>
          <w:b/>
          <w:color w:val="3B5F4F"/>
          <w:sz w:val="24"/>
          <w:szCs w:val="24"/>
          <w:lang w:eastAsia="zh-CN"/>
        </w:rPr>
        <w:t xml:space="preserve">important foundational concepts </w:t>
      </w:r>
      <w:r w:rsidR="00576DB1">
        <w:rPr>
          <w:rFonts w:eastAsia="Times New Roman" w:cstheme="minorHAnsi"/>
          <w:b/>
          <w:color w:val="3B5F4F"/>
          <w:sz w:val="24"/>
          <w:szCs w:val="24"/>
          <w:lang w:eastAsia="zh-CN"/>
        </w:rPr>
        <w:t>be</w:t>
      </w:r>
      <w:r w:rsidR="00DA3472" w:rsidRPr="00DA3472">
        <w:rPr>
          <w:rFonts w:eastAsia="Times New Roman" w:cstheme="minorHAnsi"/>
          <w:b/>
          <w:color w:val="3B5F4F"/>
          <w:sz w:val="24"/>
          <w:szCs w:val="24"/>
          <w:lang w:eastAsia="zh-CN"/>
        </w:rPr>
        <w:t xml:space="preserve"> introduced in first year, and reinforced and further developed in subsequent years.</w:t>
      </w:r>
    </w:p>
    <w:p w14:paraId="0FF92F8E" w14:textId="77777777" w:rsidR="009E0139" w:rsidRPr="00DA3472" w:rsidRDefault="009E0139" w:rsidP="00DA3472">
      <w:pPr>
        <w:spacing w:after="160" w:line="259" w:lineRule="auto"/>
        <w:contextualSpacing/>
        <w:rPr>
          <w:rFonts w:eastAsia="Times New Roman" w:cstheme="minorHAnsi"/>
          <w:b/>
          <w:color w:val="3B5F4F"/>
          <w:sz w:val="24"/>
          <w:szCs w:val="24"/>
          <w:lang w:eastAsia="zh-CN"/>
        </w:rPr>
      </w:pPr>
    </w:p>
    <w:p w14:paraId="4E530839" w14:textId="22855983" w:rsidR="00504629" w:rsidRPr="00F12773" w:rsidRDefault="000B6DEB" w:rsidP="00504629">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5CB1D4E1" w14:textId="69F44671" w:rsidR="00C959E2" w:rsidRPr="007F6E4B" w:rsidRDefault="00C12614" w:rsidP="00C12614">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This has been discussed as part of the current curriculum revision process. At present the foundational concepts are introduced in NURS</w:t>
      </w:r>
      <w:r w:rsidR="0032681F">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1000 (Individual as Nurse) and NURS</w:t>
      </w:r>
      <w:r w:rsidR="0032681F">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 xml:space="preserve">1001. </w:t>
      </w:r>
    </w:p>
    <w:p w14:paraId="661A4185" w14:textId="77777777" w:rsidR="00C12614" w:rsidRDefault="00C12614" w:rsidP="00DD57F3">
      <w:pPr>
        <w:widowControl w:val="0"/>
        <w:tabs>
          <w:tab w:val="left" w:pos="933"/>
        </w:tabs>
        <w:ind w:right="316"/>
        <w:jc w:val="both"/>
        <w:rPr>
          <w:rFonts w:eastAsia="Times New Roman" w:cstheme="minorHAnsi"/>
          <w:b/>
          <w:color w:val="3B5F4F"/>
          <w:sz w:val="24"/>
          <w:szCs w:val="24"/>
          <w:u w:val="single"/>
        </w:rPr>
      </w:pPr>
    </w:p>
    <w:p w14:paraId="2D40A3F7" w14:textId="1B38A3DC" w:rsidR="00C959E2" w:rsidRPr="00DD57F3" w:rsidRDefault="0066025C" w:rsidP="00DD57F3">
      <w:pPr>
        <w:widowControl w:val="0"/>
        <w:tabs>
          <w:tab w:val="left" w:pos="933"/>
        </w:tabs>
        <w:ind w:right="316"/>
        <w:jc w:val="both"/>
        <w:rPr>
          <w:rFonts w:eastAsia="Times New Roman" w:cstheme="minorHAnsi"/>
          <w:b/>
          <w:color w:val="3B5F4F"/>
          <w:sz w:val="24"/>
          <w:szCs w:val="24"/>
          <w:u w:val="single"/>
        </w:rPr>
      </w:pPr>
      <w:r w:rsidRPr="00DD57F3">
        <w:rPr>
          <w:rFonts w:eastAsia="Times New Roman" w:cstheme="minorHAnsi"/>
          <w:b/>
          <w:color w:val="3B5F4F"/>
          <w:sz w:val="24"/>
          <w:szCs w:val="24"/>
          <w:u w:val="single"/>
        </w:rPr>
        <w:t>Recommendation</w:t>
      </w:r>
      <w:r w:rsidR="00C959E2" w:rsidRPr="00DD57F3">
        <w:rPr>
          <w:rFonts w:eastAsia="Times New Roman" w:cstheme="minorHAnsi"/>
          <w:b/>
          <w:color w:val="3B5F4F"/>
          <w:sz w:val="24"/>
          <w:szCs w:val="24"/>
          <w:u w:val="single"/>
        </w:rPr>
        <w:t xml:space="preserve"> 4</w:t>
      </w:r>
    </w:p>
    <w:p w14:paraId="400148E0" w14:textId="4ACBAA97" w:rsidR="00DA3472" w:rsidRPr="00DA3472" w:rsidRDefault="009E0139" w:rsidP="00DA3472">
      <w:pPr>
        <w:spacing w:after="160" w:line="259" w:lineRule="auto"/>
        <w:contextualSpacing/>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the School </w:t>
      </w:r>
      <w:r w:rsidR="00576DB1">
        <w:rPr>
          <w:rFonts w:eastAsia="Times New Roman" w:cstheme="minorHAnsi"/>
          <w:b/>
          <w:color w:val="3B5F4F"/>
          <w:sz w:val="24"/>
          <w:szCs w:val="24"/>
          <w:lang w:eastAsia="zh-CN"/>
        </w:rPr>
        <w:t>emphasize</w:t>
      </w:r>
      <w:r>
        <w:rPr>
          <w:rFonts w:eastAsia="Times New Roman" w:cstheme="minorHAnsi"/>
          <w:b/>
          <w:color w:val="3B5F4F"/>
          <w:sz w:val="24"/>
          <w:szCs w:val="24"/>
          <w:lang w:eastAsia="zh-CN"/>
        </w:rPr>
        <w:t xml:space="preserve"> </w:t>
      </w:r>
      <w:r w:rsidR="00DA3472" w:rsidRPr="00DA3472">
        <w:rPr>
          <w:rFonts w:eastAsia="Times New Roman" w:cstheme="minorHAnsi"/>
          <w:b/>
          <w:color w:val="3B5F4F"/>
          <w:sz w:val="24"/>
          <w:szCs w:val="24"/>
          <w:lang w:eastAsia="zh-CN"/>
        </w:rPr>
        <w:t xml:space="preserve">content on relational practice and communication skills in first year in a purposeful way </w:t>
      </w:r>
      <w:r w:rsidR="00576DB1">
        <w:rPr>
          <w:rFonts w:eastAsia="Times New Roman" w:cstheme="minorHAnsi"/>
          <w:b/>
          <w:color w:val="3B5F4F"/>
          <w:sz w:val="24"/>
          <w:szCs w:val="24"/>
          <w:lang w:eastAsia="zh-CN"/>
        </w:rPr>
        <w:t>that is</w:t>
      </w:r>
      <w:r w:rsidR="00DA3472" w:rsidRPr="00DA3472">
        <w:rPr>
          <w:rFonts w:eastAsia="Times New Roman" w:cstheme="minorHAnsi"/>
          <w:b/>
          <w:color w:val="3B5F4F"/>
          <w:sz w:val="24"/>
          <w:szCs w:val="24"/>
          <w:lang w:eastAsia="zh-CN"/>
        </w:rPr>
        <w:t xml:space="preserve"> coherently integrated throughout both theory and clinical courses. </w:t>
      </w:r>
    </w:p>
    <w:p w14:paraId="3E33AD16" w14:textId="77777777" w:rsidR="00E329D7" w:rsidRPr="00DD57F3" w:rsidRDefault="00E329D7" w:rsidP="00E329D7">
      <w:pPr>
        <w:suppressAutoHyphens/>
        <w:ind w:right="267"/>
        <w:rPr>
          <w:rFonts w:eastAsia="Times New Roman" w:cstheme="minorHAnsi"/>
          <w:b/>
          <w:color w:val="3B5F4F"/>
          <w:sz w:val="24"/>
          <w:szCs w:val="24"/>
          <w:lang w:eastAsia="zh-CN"/>
        </w:rPr>
      </w:pPr>
    </w:p>
    <w:p w14:paraId="1D8B1126"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0DBC3D5E" w14:textId="320EDE4F" w:rsidR="00DA3472" w:rsidRPr="007F6E4B" w:rsidRDefault="00C12614" w:rsidP="00C12614">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In the next iteration of NURS</w:t>
      </w:r>
      <w:r w:rsidR="0032681F">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1001</w:t>
      </w:r>
      <w:r w:rsidR="0032681F">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an effort has been made to integrate more elements of relational inquiry as it is enacted in communication and nurse-patient relationships.</w:t>
      </w:r>
      <w:r w:rsidR="0032681F">
        <w:rPr>
          <w:rFonts w:eastAsia="Times New Roman" w:cstheme="minorHAnsi"/>
          <w:color w:val="000000" w:themeColor="text1"/>
          <w:sz w:val="24"/>
          <w:szCs w:val="24"/>
        </w:rPr>
        <w:t xml:space="preserve"> The School passed a motion at its May 2019 meeting formally adopting relational inquiry as the philosophical and conceptual foundation of the new curriculum. </w:t>
      </w:r>
      <w:r w:rsidRPr="007F6E4B">
        <w:rPr>
          <w:rFonts w:eastAsia="Times New Roman" w:cstheme="minorHAnsi"/>
          <w:color w:val="000000" w:themeColor="text1"/>
          <w:sz w:val="24"/>
          <w:szCs w:val="24"/>
        </w:rPr>
        <w:t>The next piece of this will involve the specific integration of relational inquiry concepts into all new courses.</w:t>
      </w:r>
    </w:p>
    <w:p w14:paraId="57D4082D" w14:textId="33059296" w:rsidR="00DA3472" w:rsidRDefault="00DA3472" w:rsidP="00DA3472">
      <w:pPr>
        <w:suppressAutoHyphens/>
        <w:ind w:right="267"/>
        <w:rPr>
          <w:rFonts w:eastAsia="Times New Roman" w:cstheme="minorHAnsi"/>
          <w:sz w:val="24"/>
          <w:szCs w:val="24"/>
          <w:u w:val="single"/>
          <w:lang w:eastAsia="zh-CN"/>
        </w:rPr>
      </w:pPr>
    </w:p>
    <w:p w14:paraId="584CAF5D" w14:textId="401FEB8D" w:rsidR="00C959E2" w:rsidRPr="00DD57F3" w:rsidRDefault="0066025C"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w:t>
      </w:r>
      <w:r w:rsidR="00C959E2" w:rsidRPr="00DD57F3">
        <w:rPr>
          <w:rFonts w:eastAsia="Times New Roman" w:cstheme="minorHAnsi"/>
          <w:b/>
          <w:color w:val="3B5F4F"/>
          <w:sz w:val="24"/>
          <w:szCs w:val="24"/>
          <w:u w:val="single"/>
          <w:lang w:eastAsia="zh-CN"/>
        </w:rPr>
        <w:t xml:space="preserve"> 5</w:t>
      </w:r>
    </w:p>
    <w:p w14:paraId="75F9FF06" w14:textId="124957C0" w:rsidR="006A7CD5" w:rsidRPr="006A7CD5" w:rsidRDefault="006A7CD5" w:rsidP="00DA3472">
      <w:pPr>
        <w:spacing w:after="160" w:line="259" w:lineRule="auto"/>
        <w:contextualSpacing/>
        <w:rPr>
          <w:rFonts w:eastAsia="Times New Roman" w:cstheme="minorHAnsi"/>
          <w:b/>
          <w:color w:val="3B5F4F"/>
          <w:sz w:val="24"/>
          <w:szCs w:val="24"/>
          <w:lang w:eastAsia="zh-CN"/>
        </w:rPr>
      </w:pPr>
      <w:r w:rsidRPr="006A7CD5">
        <w:rPr>
          <w:rFonts w:eastAsia="Times New Roman" w:cstheme="minorHAnsi"/>
          <w:b/>
          <w:color w:val="3B5F4F"/>
          <w:sz w:val="24"/>
          <w:szCs w:val="24"/>
          <w:lang w:eastAsia="zh-CN"/>
        </w:rPr>
        <w:t>That the idea of nursing as a profession be a key part of the first year by interacting with faculty to learn fundamental</w:t>
      </w:r>
      <w:r w:rsidR="006B63B6">
        <w:rPr>
          <w:rFonts w:eastAsia="Times New Roman" w:cstheme="minorHAnsi"/>
          <w:b/>
          <w:color w:val="3B5F4F"/>
          <w:sz w:val="24"/>
          <w:szCs w:val="24"/>
          <w:lang w:eastAsia="zh-CN"/>
        </w:rPr>
        <w:t xml:space="preserve"> </w:t>
      </w:r>
      <w:r w:rsidR="00877BFF" w:rsidRPr="00504629">
        <w:rPr>
          <w:rFonts w:eastAsia="Times New Roman" w:cstheme="minorHAnsi"/>
          <w:b/>
          <w:color w:val="3B5F4F"/>
          <w:sz w:val="24"/>
          <w:szCs w:val="24"/>
          <w:lang w:eastAsia="zh-CN"/>
        </w:rPr>
        <w:t>patient</w:t>
      </w:r>
      <w:r w:rsidRPr="00504629">
        <w:rPr>
          <w:rFonts w:eastAsia="Times New Roman" w:cstheme="minorHAnsi"/>
          <w:b/>
          <w:color w:val="3B5F4F"/>
          <w:sz w:val="24"/>
          <w:szCs w:val="24"/>
          <w:lang w:eastAsia="zh-CN"/>
        </w:rPr>
        <w:t xml:space="preserve"> assessment skills. This should be provided, ideally, within a stand-alone health assessment course.</w:t>
      </w:r>
    </w:p>
    <w:p w14:paraId="1ED8BECC" w14:textId="77777777" w:rsidR="006A7CD5" w:rsidRDefault="006A7CD5" w:rsidP="00DA3472">
      <w:pPr>
        <w:spacing w:after="160" w:line="259" w:lineRule="auto"/>
        <w:contextualSpacing/>
        <w:rPr>
          <w:sz w:val="20"/>
          <w:szCs w:val="20"/>
        </w:rPr>
      </w:pPr>
    </w:p>
    <w:p w14:paraId="12AC08E0"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6EC2B453" w14:textId="2A268D96" w:rsidR="00946B2F" w:rsidRPr="007F6E4B" w:rsidRDefault="00504629" w:rsidP="00C12614">
      <w:pPr>
        <w:autoSpaceDE w:val="0"/>
        <w:autoSpaceDN w:val="0"/>
        <w:adjustRightInd w:val="0"/>
        <w:rPr>
          <w:rFonts w:eastAsia="Times New Roman" w:cstheme="minorHAnsi"/>
          <w:color w:val="000000" w:themeColor="text1"/>
          <w:sz w:val="24"/>
          <w:szCs w:val="24"/>
        </w:rPr>
      </w:pPr>
      <w:r w:rsidRPr="00504629">
        <w:rPr>
          <w:rFonts w:eastAsia="Times New Roman" w:cstheme="minorHAnsi"/>
          <w:color w:val="000000" w:themeColor="text1"/>
          <w:sz w:val="24"/>
          <w:szCs w:val="24"/>
        </w:rPr>
        <w:t>The School is considering a stand-alone health assessment course.</w:t>
      </w:r>
      <w:r>
        <w:rPr>
          <w:rFonts w:eastAsia="Times New Roman" w:cstheme="minorHAnsi"/>
          <w:color w:val="000000" w:themeColor="text1"/>
          <w:sz w:val="24"/>
          <w:szCs w:val="24"/>
        </w:rPr>
        <w:t xml:space="preserve"> </w:t>
      </w:r>
      <w:r w:rsidR="000752FC">
        <w:rPr>
          <w:rFonts w:eastAsia="Times New Roman" w:cstheme="minorHAnsi"/>
          <w:color w:val="000000" w:themeColor="text1"/>
          <w:sz w:val="24"/>
          <w:szCs w:val="24"/>
        </w:rPr>
        <w:t xml:space="preserve">Fundamental patient assessment skills re how vital signs are taught are presently taught by highly skilled Clinical Learning Centre Demonstrators who are nurses often with advanced degrees. </w:t>
      </w:r>
      <w:r w:rsidR="00C12614" w:rsidRPr="007F6E4B">
        <w:rPr>
          <w:rFonts w:eastAsia="Times New Roman" w:cstheme="minorHAnsi"/>
          <w:color w:val="000000" w:themeColor="text1"/>
          <w:sz w:val="24"/>
          <w:szCs w:val="24"/>
        </w:rPr>
        <w:t>While the details of courses in the revised curriculum are still being developed, at the present time the proposal is to have stand-alone health assessment courses in year</w:t>
      </w:r>
      <w:r w:rsidR="009A356E">
        <w:rPr>
          <w:rFonts w:eastAsia="Times New Roman" w:cstheme="minorHAnsi"/>
          <w:color w:val="000000" w:themeColor="text1"/>
          <w:sz w:val="24"/>
          <w:szCs w:val="24"/>
        </w:rPr>
        <w:t>s</w:t>
      </w:r>
      <w:r w:rsidR="00C12614" w:rsidRPr="007F6E4B">
        <w:rPr>
          <w:rFonts w:eastAsia="Times New Roman" w:cstheme="minorHAnsi"/>
          <w:color w:val="000000" w:themeColor="text1"/>
          <w:sz w:val="24"/>
          <w:szCs w:val="24"/>
        </w:rPr>
        <w:t xml:space="preserve"> 1 and 2. In year one health assessment may be integrated with physiology 1</w:t>
      </w:r>
      <w:r w:rsidR="00F1257A">
        <w:rPr>
          <w:rFonts w:eastAsia="Times New Roman" w:cstheme="minorHAnsi"/>
          <w:color w:val="000000" w:themeColor="text1"/>
          <w:sz w:val="24"/>
          <w:szCs w:val="24"/>
        </w:rPr>
        <w:t>,</w:t>
      </w:r>
      <w:r w:rsidR="00C12614" w:rsidRPr="007F6E4B">
        <w:rPr>
          <w:rFonts w:eastAsia="Times New Roman" w:cstheme="minorHAnsi"/>
          <w:color w:val="000000" w:themeColor="text1"/>
          <w:sz w:val="24"/>
          <w:szCs w:val="24"/>
        </w:rPr>
        <w:t xml:space="preserve"> including multiple systems, special senses and hands on practice. A second-year course may include advanced/specialized health assessment including infants, antepartum/postpartum, ECG interpretation and focused assessment.</w:t>
      </w:r>
    </w:p>
    <w:p w14:paraId="018E692D" w14:textId="77777777" w:rsidR="00C12614" w:rsidRPr="00C12614" w:rsidRDefault="00C12614" w:rsidP="00C12614">
      <w:pPr>
        <w:autoSpaceDE w:val="0"/>
        <w:autoSpaceDN w:val="0"/>
        <w:adjustRightInd w:val="0"/>
        <w:rPr>
          <w:rFonts w:ascii="Calibri" w:hAnsi="Calibri" w:cs="Calibri"/>
          <w:color w:val="3B5F4F"/>
          <w:sz w:val="24"/>
          <w:szCs w:val="24"/>
          <w:lang w:val="en-US"/>
        </w:rPr>
      </w:pPr>
    </w:p>
    <w:p w14:paraId="3E8CC3B9" w14:textId="458DF59C" w:rsidR="00F17ED7" w:rsidRPr="00DD57F3" w:rsidRDefault="0066025C"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 xml:space="preserve">Recommendation </w:t>
      </w:r>
      <w:r w:rsidR="00F17ED7" w:rsidRPr="00DD57F3">
        <w:rPr>
          <w:rFonts w:eastAsia="Times New Roman" w:cstheme="minorHAnsi"/>
          <w:b/>
          <w:color w:val="3B5F4F"/>
          <w:sz w:val="24"/>
          <w:szCs w:val="24"/>
          <w:u w:val="single"/>
          <w:lang w:eastAsia="zh-CN"/>
        </w:rPr>
        <w:t>6</w:t>
      </w:r>
    </w:p>
    <w:p w14:paraId="132BCAF3" w14:textId="77777777" w:rsidR="00DA3472" w:rsidRPr="00B70AE2" w:rsidRDefault="00DA3472" w:rsidP="00DA3472">
      <w:pPr>
        <w:spacing w:after="160" w:line="259" w:lineRule="auto"/>
        <w:contextualSpacing/>
        <w:rPr>
          <w:sz w:val="24"/>
          <w:szCs w:val="32"/>
        </w:rPr>
      </w:pPr>
      <w:r w:rsidRPr="00DA3472">
        <w:rPr>
          <w:rFonts w:eastAsia="Times New Roman" w:cstheme="minorHAnsi"/>
          <w:b/>
          <w:color w:val="3B5F4F"/>
          <w:sz w:val="24"/>
          <w:szCs w:val="24"/>
          <w:lang w:eastAsia="zh-CN"/>
        </w:rPr>
        <w:t>That the School consider, in curriculum redevelopment, a standalone ethics course.</w:t>
      </w:r>
    </w:p>
    <w:p w14:paraId="21DB2A13" w14:textId="77777777" w:rsidR="00CA2528" w:rsidRDefault="00CA2528" w:rsidP="00F12773">
      <w:pPr>
        <w:spacing w:after="160" w:line="259" w:lineRule="auto"/>
        <w:contextualSpacing/>
        <w:rPr>
          <w:rFonts w:eastAsia="Times New Roman" w:cstheme="minorHAnsi"/>
          <w:b/>
          <w:color w:val="3B5F4F"/>
          <w:sz w:val="24"/>
          <w:szCs w:val="24"/>
          <w:lang w:eastAsia="zh-CN"/>
        </w:rPr>
      </w:pPr>
    </w:p>
    <w:p w14:paraId="7CB316CD"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1B8CEB5D" w14:textId="65AA7958" w:rsidR="00C12614" w:rsidRDefault="009A356E" w:rsidP="00C12614">
      <w:pPr>
        <w:autoSpaceDE w:val="0"/>
        <w:autoSpaceDN w:val="0"/>
        <w:adjustRightInd w:val="0"/>
        <w:rPr>
          <w:rFonts w:eastAsia="Times New Roman" w:cstheme="minorHAnsi"/>
          <w:color w:val="000000" w:themeColor="text1"/>
          <w:sz w:val="24"/>
          <w:szCs w:val="24"/>
        </w:rPr>
      </w:pPr>
      <w:r>
        <w:rPr>
          <w:rFonts w:eastAsia="Times New Roman" w:cstheme="minorHAnsi"/>
          <w:color w:val="000000" w:themeColor="text1"/>
          <w:sz w:val="24"/>
          <w:szCs w:val="24"/>
        </w:rPr>
        <w:t>The School</w:t>
      </w:r>
      <w:r w:rsidR="00C12614" w:rsidRPr="00C12614">
        <w:rPr>
          <w:rFonts w:eastAsia="Times New Roman" w:cstheme="minorHAnsi"/>
          <w:color w:val="000000" w:themeColor="text1"/>
          <w:sz w:val="24"/>
          <w:szCs w:val="24"/>
        </w:rPr>
        <w:t xml:space="preserve"> is </w:t>
      </w:r>
      <w:r>
        <w:rPr>
          <w:rFonts w:eastAsia="Times New Roman" w:cstheme="minorHAnsi"/>
          <w:color w:val="000000" w:themeColor="text1"/>
          <w:sz w:val="24"/>
          <w:szCs w:val="24"/>
        </w:rPr>
        <w:t>considering a course in the</w:t>
      </w:r>
      <w:r w:rsidR="00C12614" w:rsidRPr="00C12614">
        <w:rPr>
          <w:rFonts w:eastAsia="Times New Roman" w:cstheme="minorHAnsi"/>
          <w:color w:val="000000" w:themeColor="text1"/>
          <w:sz w:val="24"/>
          <w:szCs w:val="24"/>
        </w:rPr>
        <w:t xml:space="preserve"> second year of the program</w:t>
      </w:r>
      <w:r>
        <w:rPr>
          <w:rFonts w:eastAsia="Times New Roman" w:cstheme="minorHAnsi"/>
          <w:color w:val="000000" w:themeColor="text1"/>
          <w:sz w:val="24"/>
          <w:szCs w:val="24"/>
        </w:rPr>
        <w:t>, and it is their intent to incorporate e</w:t>
      </w:r>
      <w:r w:rsidR="00C12614" w:rsidRPr="00C12614">
        <w:rPr>
          <w:rFonts w:eastAsia="Times New Roman" w:cstheme="minorHAnsi"/>
          <w:color w:val="000000" w:themeColor="text1"/>
          <w:sz w:val="24"/>
          <w:szCs w:val="24"/>
        </w:rPr>
        <w:t xml:space="preserve">thical considerations </w:t>
      </w:r>
      <w:r>
        <w:rPr>
          <w:rFonts w:eastAsia="Times New Roman" w:cstheme="minorHAnsi"/>
          <w:color w:val="000000" w:themeColor="text1"/>
          <w:sz w:val="24"/>
          <w:szCs w:val="24"/>
        </w:rPr>
        <w:t>into</w:t>
      </w:r>
      <w:r w:rsidR="00C12614" w:rsidRPr="00C12614">
        <w:rPr>
          <w:rFonts w:eastAsia="Times New Roman" w:cstheme="minorHAnsi"/>
          <w:color w:val="000000" w:themeColor="text1"/>
          <w:sz w:val="24"/>
          <w:szCs w:val="24"/>
        </w:rPr>
        <w:t xml:space="preserve"> almost every course in keeping with the principles of nursing as relational inquiry.</w:t>
      </w:r>
    </w:p>
    <w:p w14:paraId="57FE08B2" w14:textId="77777777" w:rsidR="00615369" w:rsidRPr="00C12614" w:rsidRDefault="00615369" w:rsidP="00C12614">
      <w:pPr>
        <w:autoSpaceDE w:val="0"/>
        <w:autoSpaceDN w:val="0"/>
        <w:adjustRightInd w:val="0"/>
        <w:rPr>
          <w:rFonts w:eastAsia="Times New Roman" w:cstheme="minorHAnsi"/>
          <w:color w:val="000000" w:themeColor="text1"/>
          <w:sz w:val="24"/>
          <w:szCs w:val="24"/>
        </w:rPr>
      </w:pPr>
    </w:p>
    <w:p w14:paraId="150492F1" w14:textId="5E4A2AEF" w:rsidR="00B90FAA" w:rsidRDefault="0066025C" w:rsidP="00B90FAA">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 xml:space="preserve">Recommendation </w:t>
      </w:r>
      <w:r w:rsidR="00166165" w:rsidRPr="00DD57F3">
        <w:rPr>
          <w:rFonts w:eastAsia="Times New Roman" w:cstheme="minorHAnsi"/>
          <w:b/>
          <w:color w:val="3B5F4F"/>
          <w:sz w:val="24"/>
          <w:szCs w:val="24"/>
          <w:u w:val="single"/>
          <w:lang w:eastAsia="zh-CN"/>
        </w:rPr>
        <w:t>7</w:t>
      </w:r>
    </w:p>
    <w:p w14:paraId="14666DBF" w14:textId="77777777" w:rsidR="009E0139" w:rsidRDefault="00DA3472" w:rsidP="00C12614">
      <w:pPr>
        <w:spacing w:after="160" w:line="259" w:lineRule="auto"/>
        <w:contextualSpacing/>
        <w:rPr>
          <w:rFonts w:eastAsia="Times New Roman" w:cstheme="minorHAnsi"/>
          <w:b/>
          <w:color w:val="3B5F4F"/>
          <w:sz w:val="24"/>
          <w:szCs w:val="24"/>
          <w:lang w:eastAsia="zh-CN"/>
        </w:rPr>
      </w:pPr>
      <w:r w:rsidRPr="00DA3472">
        <w:rPr>
          <w:rFonts w:eastAsia="Times New Roman" w:cstheme="minorHAnsi"/>
          <w:b/>
          <w:color w:val="3B5F4F"/>
          <w:sz w:val="24"/>
          <w:szCs w:val="24"/>
          <w:lang w:eastAsia="zh-CN"/>
        </w:rPr>
        <w:t xml:space="preserve">That the School continue to build opportunities to attract new faculty to the program, as well as ensuring adequate space for current (and future) faculty and staff to practice and engage with students, in offices, meeting space and laboratory space. </w:t>
      </w:r>
    </w:p>
    <w:p w14:paraId="721F1593" w14:textId="77777777" w:rsidR="009E0139" w:rsidRDefault="009E0139" w:rsidP="00C12614">
      <w:pPr>
        <w:spacing w:after="160" w:line="259" w:lineRule="auto"/>
        <w:contextualSpacing/>
        <w:rPr>
          <w:rFonts w:eastAsia="Times New Roman" w:cstheme="minorHAnsi"/>
          <w:b/>
          <w:color w:val="3B5F4F"/>
          <w:sz w:val="24"/>
          <w:szCs w:val="24"/>
          <w:lang w:eastAsia="zh-CN"/>
        </w:rPr>
      </w:pPr>
    </w:p>
    <w:p w14:paraId="51A1DE1C"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5AB8CAE6" w14:textId="3B4231BB" w:rsidR="00DA3472" w:rsidRPr="007F6E4B" w:rsidRDefault="00794472" w:rsidP="007F6E4B">
      <w:pPr>
        <w:autoSpaceDE w:val="0"/>
        <w:autoSpaceDN w:val="0"/>
        <w:adjustRightInd w:val="0"/>
        <w:rPr>
          <w:rFonts w:eastAsia="Times New Roman" w:cstheme="minorHAnsi"/>
          <w:color w:val="000000" w:themeColor="text1"/>
          <w:sz w:val="24"/>
          <w:szCs w:val="24"/>
        </w:rPr>
      </w:pPr>
      <w:r>
        <w:rPr>
          <w:rFonts w:eastAsia="Times New Roman" w:cstheme="minorHAnsi"/>
          <w:color w:val="000000" w:themeColor="text1"/>
          <w:sz w:val="24"/>
          <w:szCs w:val="24"/>
        </w:rPr>
        <w:t xml:space="preserve">The School </w:t>
      </w:r>
      <w:r w:rsidR="007F6E4B" w:rsidRPr="007F6E4B">
        <w:rPr>
          <w:rFonts w:eastAsia="Times New Roman" w:cstheme="minorHAnsi"/>
          <w:color w:val="000000" w:themeColor="text1"/>
          <w:sz w:val="24"/>
          <w:szCs w:val="24"/>
        </w:rPr>
        <w:t>continue</w:t>
      </w:r>
      <w:r>
        <w:rPr>
          <w:rFonts w:eastAsia="Times New Roman" w:cstheme="minorHAnsi"/>
          <w:color w:val="000000" w:themeColor="text1"/>
          <w:sz w:val="24"/>
          <w:szCs w:val="24"/>
        </w:rPr>
        <w:t>s</w:t>
      </w:r>
      <w:r w:rsidR="007F6E4B" w:rsidRPr="007F6E4B">
        <w:rPr>
          <w:rFonts w:eastAsia="Times New Roman" w:cstheme="minorHAnsi"/>
          <w:color w:val="000000" w:themeColor="text1"/>
          <w:sz w:val="24"/>
          <w:szCs w:val="24"/>
        </w:rPr>
        <w:t xml:space="preserve"> to work on maximizing the use of current space and increasing the space available for faculty</w:t>
      </w:r>
      <w:r>
        <w:rPr>
          <w:rFonts w:eastAsia="Times New Roman" w:cstheme="minorHAnsi"/>
          <w:color w:val="000000" w:themeColor="text1"/>
          <w:sz w:val="24"/>
          <w:szCs w:val="24"/>
        </w:rPr>
        <w:t xml:space="preserve"> and</w:t>
      </w:r>
      <w:r w:rsidR="007F6E4B" w:rsidRPr="007F6E4B">
        <w:rPr>
          <w:rFonts w:eastAsia="Times New Roman" w:cstheme="minorHAnsi"/>
          <w:color w:val="000000" w:themeColor="text1"/>
          <w:sz w:val="24"/>
          <w:szCs w:val="24"/>
        </w:rPr>
        <w:t xml:space="preserve"> staff offices as well as learning space </w:t>
      </w:r>
      <w:r>
        <w:rPr>
          <w:rFonts w:eastAsia="Times New Roman" w:cstheme="minorHAnsi"/>
          <w:color w:val="000000" w:themeColor="text1"/>
          <w:sz w:val="24"/>
          <w:szCs w:val="24"/>
        </w:rPr>
        <w:t>for the</w:t>
      </w:r>
      <w:r w:rsidR="007F6E4B" w:rsidRPr="007F6E4B">
        <w:rPr>
          <w:rFonts w:eastAsia="Times New Roman" w:cstheme="minorHAnsi"/>
          <w:color w:val="000000" w:themeColor="text1"/>
          <w:sz w:val="24"/>
          <w:szCs w:val="24"/>
        </w:rPr>
        <w:t xml:space="preserve"> Clinical Learning Centre. </w:t>
      </w:r>
      <w:r>
        <w:rPr>
          <w:rFonts w:eastAsia="Times New Roman" w:cstheme="minorHAnsi"/>
          <w:color w:val="000000" w:themeColor="text1"/>
          <w:sz w:val="24"/>
          <w:szCs w:val="24"/>
        </w:rPr>
        <w:t xml:space="preserve">The School will be </w:t>
      </w:r>
      <w:r w:rsidR="007F6E4B" w:rsidRPr="007F6E4B">
        <w:rPr>
          <w:rFonts w:eastAsia="Times New Roman" w:cstheme="minorHAnsi"/>
          <w:color w:val="000000" w:themeColor="text1"/>
          <w:sz w:val="24"/>
          <w:szCs w:val="24"/>
        </w:rPr>
        <w:t>reconstruct</w:t>
      </w:r>
      <w:r>
        <w:rPr>
          <w:rFonts w:eastAsia="Times New Roman" w:cstheme="minorHAnsi"/>
          <w:color w:val="000000" w:themeColor="text1"/>
          <w:sz w:val="24"/>
          <w:szCs w:val="24"/>
        </w:rPr>
        <w:t>ing</w:t>
      </w:r>
      <w:r w:rsidR="007F6E4B" w:rsidRPr="007F6E4B">
        <w:rPr>
          <w:rFonts w:eastAsia="Times New Roman" w:cstheme="minorHAnsi"/>
          <w:color w:val="000000" w:themeColor="text1"/>
          <w:sz w:val="24"/>
          <w:szCs w:val="24"/>
        </w:rPr>
        <w:t xml:space="preserve"> the front office space in the summer of 2019 to accommodate more support staff. This will free up offices in LHS-C for faculty some of whom are presently three to an office in OC rather than in LHS.</w:t>
      </w:r>
    </w:p>
    <w:p w14:paraId="31667BAD" w14:textId="77777777" w:rsidR="00C12614" w:rsidRDefault="00C12614" w:rsidP="00DD57F3">
      <w:pPr>
        <w:suppressAutoHyphens/>
        <w:rPr>
          <w:rFonts w:eastAsia="Times New Roman" w:cstheme="minorHAnsi"/>
          <w:b/>
          <w:color w:val="3B5F4F"/>
          <w:sz w:val="24"/>
          <w:szCs w:val="24"/>
          <w:u w:val="single"/>
          <w:lang w:eastAsia="zh-CN"/>
        </w:rPr>
      </w:pPr>
    </w:p>
    <w:p w14:paraId="7D3B982F" w14:textId="09A2C4C0" w:rsidR="00166165" w:rsidRPr="00DD57F3" w:rsidRDefault="0066025C"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w:t>
      </w:r>
      <w:r w:rsidR="00166165" w:rsidRPr="00DD57F3">
        <w:rPr>
          <w:rFonts w:eastAsia="Times New Roman" w:cstheme="minorHAnsi"/>
          <w:b/>
          <w:color w:val="3B5F4F"/>
          <w:sz w:val="24"/>
          <w:szCs w:val="24"/>
          <w:u w:val="single"/>
          <w:lang w:eastAsia="zh-CN"/>
        </w:rPr>
        <w:t xml:space="preserve"> 8</w:t>
      </w:r>
    </w:p>
    <w:p w14:paraId="78C057EB" w14:textId="7966BD0F" w:rsidR="00DA3472" w:rsidRPr="00DD4FBF" w:rsidRDefault="00A174E7" w:rsidP="00DA3472">
      <w:pPr>
        <w:spacing w:after="160" w:line="259" w:lineRule="auto"/>
        <w:contextualSpacing/>
        <w:rPr>
          <w:rFonts w:eastAsia="Times New Roman" w:cstheme="minorHAnsi"/>
          <w:b/>
          <w:color w:val="3B5F4F"/>
          <w:sz w:val="24"/>
          <w:szCs w:val="24"/>
          <w:lang w:eastAsia="zh-CN"/>
        </w:rPr>
      </w:pPr>
      <w:r>
        <w:rPr>
          <w:rFonts w:eastAsia="Times New Roman" w:cstheme="minorHAnsi"/>
          <w:b/>
          <w:color w:val="3B5F4F"/>
          <w:sz w:val="24"/>
          <w:szCs w:val="24"/>
          <w:lang w:eastAsia="zh-CN"/>
        </w:rPr>
        <w:t>That, as an interim measure</w:t>
      </w:r>
      <w:r w:rsidR="00DA3472" w:rsidRPr="00DA3472">
        <w:rPr>
          <w:rFonts w:eastAsia="Times New Roman" w:cstheme="minorHAnsi"/>
          <w:b/>
          <w:color w:val="3B5F4F"/>
          <w:sz w:val="24"/>
          <w:szCs w:val="24"/>
          <w:lang w:eastAsia="zh-CN"/>
        </w:rPr>
        <w:t xml:space="preserve"> while heading into curriculum redevelopment, </w:t>
      </w:r>
      <w:r>
        <w:rPr>
          <w:rFonts w:eastAsia="Times New Roman" w:cstheme="minorHAnsi"/>
          <w:b/>
          <w:color w:val="3B5F4F"/>
          <w:sz w:val="24"/>
          <w:szCs w:val="24"/>
          <w:lang w:eastAsia="zh-CN"/>
        </w:rPr>
        <w:t xml:space="preserve">the program </w:t>
      </w:r>
      <w:r w:rsidR="00DA3472" w:rsidRPr="00DA3472">
        <w:rPr>
          <w:rFonts w:eastAsia="Times New Roman" w:cstheme="minorHAnsi"/>
          <w:b/>
          <w:color w:val="3B5F4F"/>
          <w:sz w:val="24"/>
          <w:szCs w:val="24"/>
          <w:lang w:eastAsia="zh-CN"/>
        </w:rPr>
        <w:t>provide</w:t>
      </w:r>
      <w:r>
        <w:rPr>
          <w:rFonts w:eastAsia="Times New Roman" w:cstheme="minorHAnsi"/>
          <w:b/>
          <w:color w:val="3B5F4F"/>
          <w:sz w:val="24"/>
          <w:szCs w:val="24"/>
          <w:lang w:eastAsia="zh-CN"/>
        </w:rPr>
        <w:t>s</w:t>
      </w:r>
      <w:r w:rsidR="00DA3472" w:rsidRPr="00DA3472">
        <w:rPr>
          <w:rFonts w:eastAsia="Times New Roman" w:cstheme="minorHAnsi"/>
          <w:b/>
          <w:color w:val="3B5F4F"/>
          <w:sz w:val="24"/>
          <w:szCs w:val="24"/>
          <w:lang w:eastAsia="zh-CN"/>
        </w:rPr>
        <w:t xml:space="preserve"> additional focused assessment content, and engage students in more theoretical preparation in terms of both mental health and maternal/child health. While students get a placement in either mental health or maternal/child health, all students should have access to theoretical content and discussion of these key areas. </w:t>
      </w:r>
    </w:p>
    <w:p w14:paraId="4EE32464" w14:textId="77777777" w:rsidR="008B5CCC" w:rsidRDefault="008B5CCC" w:rsidP="00F12773">
      <w:pPr>
        <w:spacing w:after="160" w:line="259" w:lineRule="auto"/>
        <w:contextualSpacing/>
        <w:rPr>
          <w:rFonts w:eastAsia="Times New Roman" w:cstheme="minorHAnsi"/>
          <w:b/>
          <w:color w:val="3B5F4F"/>
          <w:sz w:val="24"/>
          <w:szCs w:val="24"/>
          <w:lang w:eastAsia="zh-CN"/>
        </w:rPr>
      </w:pPr>
    </w:p>
    <w:p w14:paraId="23D50B35"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7701D82F" w14:textId="619DAD34" w:rsidR="00166165" w:rsidRPr="007F6E4B" w:rsidRDefault="007F6E4B" w:rsidP="00DD57F3">
      <w:pPr>
        <w:widowControl w:val="0"/>
        <w:tabs>
          <w:tab w:val="left" w:pos="933"/>
        </w:tabs>
        <w:ind w:right="498"/>
        <w:rPr>
          <w:rFonts w:eastAsia="Times New Roman" w:cstheme="minorHAnsi"/>
          <w:color w:val="000000" w:themeColor="text1"/>
          <w:sz w:val="24"/>
          <w:szCs w:val="24"/>
        </w:rPr>
      </w:pPr>
      <w:r w:rsidRPr="007F6E4B">
        <w:rPr>
          <w:rFonts w:eastAsia="Times New Roman" w:cstheme="minorHAnsi"/>
          <w:color w:val="000000" w:themeColor="text1"/>
          <w:sz w:val="24"/>
          <w:szCs w:val="24"/>
        </w:rPr>
        <w:t>This content is being integrated into NURS</w:t>
      </w:r>
      <w:r w:rsidR="00BB1ECB">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2001H and NURS</w:t>
      </w:r>
      <w:r w:rsidR="00BB1ECB">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2021.</w:t>
      </w:r>
    </w:p>
    <w:p w14:paraId="613E36AD" w14:textId="0CD298F1" w:rsidR="007F6E4B" w:rsidRDefault="007F6E4B" w:rsidP="00DD57F3">
      <w:pPr>
        <w:widowControl w:val="0"/>
        <w:tabs>
          <w:tab w:val="left" w:pos="933"/>
        </w:tabs>
        <w:ind w:right="498"/>
        <w:rPr>
          <w:rFonts w:eastAsia="Times New Roman" w:cs="Arial"/>
          <w:b/>
          <w:sz w:val="20"/>
          <w:szCs w:val="20"/>
          <w:lang w:val="en-US"/>
        </w:rPr>
      </w:pPr>
    </w:p>
    <w:p w14:paraId="1CCF6B14" w14:textId="72A4BF14" w:rsidR="00166165" w:rsidRPr="00DD57F3" w:rsidRDefault="0066025C"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w:t>
      </w:r>
      <w:r w:rsidR="00166165" w:rsidRPr="00DD57F3">
        <w:rPr>
          <w:rFonts w:eastAsia="Times New Roman" w:cstheme="minorHAnsi"/>
          <w:b/>
          <w:color w:val="3B5F4F"/>
          <w:sz w:val="24"/>
          <w:szCs w:val="24"/>
          <w:u w:val="single"/>
          <w:lang w:eastAsia="zh-CN"/>
        </w:rPr>
        <w:t xml:space="preserve"> 9</w:t>
      </w:r>
    </w:p>
    <w:p w14:paraId="110A2F44" w14:textId="1089963E" w:rsidR="00C12614" w:rsidRDefault="000C4960" w:rsidP="00C12614">
      <w:pPr>
        <w:spacing w:after="160" w:line="259" w:lineRule="auto"/>
        <w:contextualSpacing/>
        <w:rPr>
          <w:rFonts w:eastAsia="Times New Roman" w:cstheme="minorHAnsi"/>
          <w:b/>
          <w:color w:val="3B5F4F"/>
          <w:sz w:val="24"/>
          <w:szCs w:val="24"/>
          <w:lang w:eastAsia="zh-CN"/>
        </w:rPr>
      </w:pPr>
      <w:r>
        <w:rPr>
          <w:rFonts w:eastAsia="Times New Roman" w:cstheme="minorHAnsi"/>
          <w:b/>
          <w:color w:val="3B5F4F"/>
          <w:sz w:val="24"/>
          <w:szCs w:val="24"/>
          <w:lang w:eastAsia="zh-CN"/>
        </w:rPr>
        <w:t>That i</w:t>
      </w:r>
      <w:r w:rsidR="00C12614" w:rsidRPr="00C12614">
        <w:rPr>
          <w:rFonts w:eastAsia="Times New Roman" w:cstheme="minorHAnsi"/>
          <w:b/>
          <w:color w:val="3B5F4F"/>
          <w:sz w:val="24"/>
          <w:szCs w:val="24"/>
          <w:lang w:eastAsia="zh-CN"/>
        </w:rPr>
        <w:t>n curriculum redevelopment, consideration</w:t>
      </w:r>
      <w:r w:rsidR="00BB1ECB">
        <w:rPr>
          <w:rFonts w:eastAsia="Times New Roman" w:cstheme="minorHAnsi"/>
          <w:b/>
          <w:color w:val="3B5F4F"/>
          <w:sz w:val="24"/>
          <w:szCs w:val="24"/>
          <w:lang w:eastAsia="zh-CN"/>
        </w:rPr>
        <w:t xml:space="preserve"> be given</w:t>
      </w:r>
      <w:r w:rsidR="00C12614" w:rsidRPr="00C12614">
        <w:rPr>
          <w:rFonts w:eastAsia="Times New Roman" w:cstheme="minorHAnsi"/>
          <w:b/>
          <w:color w:val="3B5F4F"/>
          <w:sz w:val="24"/>
          <w:szCs w:val="24"/>
          <w:lang w:eastAsia="zh-CN"/>
        </w:rPr>
        <w:t xml:space="preserve"> to </w:t>
      </w:r>
      <w:r w:rsidR="00BB1ECB">
        <w:rPr>
          <w:rFonts w:eastAsia="Times New Roman" w:cstheme="minorHAnsi"/>
          <w:b/>
          <w:color w:val="3B5F4F"/>
          <w:sz w:val="24"/>
          <w:szCs w:val="24"/>
          <w:lang w:eastAsia="zh-CN"/>
        </w:rPr>
        <w:t xml:space="preserve">replacing </w:t>
      </w:r>
      <w:r w:rsidR="00C12614" w:rsidRPr="00C12614">
        <w:rPr>
          <w:rFonts w:eastAsia="Times New Roman" w:cstheme="minorHAnsi"/>
          <w:b/>
          <w:color w:val="3B5F4F"/>
          <w:sz w:val="24"/>
          <w:szCs w:val="24"/>
          <w:lang w:eastAsia="zh-CN"/>
        </w:rPr>
        <w:t xml:space="preserve">electives </w:t>
      </w:r>
      <w:r w:rsidR="00BB1ECB">
        <w:rPr>
          <w:rFonts w:eastAsia="Times New Roman" w:cstheme="minorHAnsi"/>
          <w:b/>
          <w:color w:val="3B5F4F"/>
          <w:sz w:val="24"/>
          <w:szCs w:val="24"/>
          <w:lang w:eastAsia="zh-CN"/>
        </w:rPr>
        <w:t>with</w:t>
      </w:r>
      <w:r w:rsidR="00C12614" w:rsidRPr="00C12614">
        <w:rPr>
          <w:rFonts w:eastAsia="Times New Roman" w:cstheme="minorHAnsi"/>
          <w:b/>
          <w:color w:val="3B5F4F"/>
          <w:sz w:val="24"/>
          <w:szCs w:val="24"/>
          <w:lang w:eastAsia="zh-CN"/>
        </w:rPr>
        <w:t xml:space="preserve"> more nursing focused content and more focused content </w:t>
      </w:r>
      <w:r w:rsidR="00BB1ECB">
        <w:rPr>
          <w:rFonts w:eastAsia="Times New Roman" w:cstheme="minorHAnsi"/>
          <w:b/>
          <w:color w:val="3B5F4F"/>
          <w:sz w:val="24"/>
          <w:szCs w:val="24"/>
          <w:lang w:eastAsia="zh-CN"/>
        </w:rPr>
        <w:t xml:space="preserve">that </w:t>
      </w:r>
      <w:r w:rsidR="00C12614" w:rsidRPr="00C12614">
        <w:rPr>
          <w:rFonts w:eastAsia="Times New Roman" w:cstheme="minorHAnsi"/>
          <w:b/>
          <w:color w:val="3B5F4F"/>
          <w:sz w:val="24"/>
          <w:szCs w:val="24"/>
          <w:lang w:eastAsia="zh-CN"/>
        </w:rPr>
        <w:t>reflect</w:t>
      </w:r>
      <w:r w:rsidR="00BB1ECB">
        <w:rPr>
          <w:rFonts w:eastAsia="Times New Roman" w:cstheme="minorHAnsi"/>
          <w:b/>
          <w:color w:val="3B5F4F"/>
          <w:sz w:val="24"/>
          <w:szCs w:val="24"/>
          <w:lang w:eastAsia="zh-CN"/>
        </w:rPr>
        <w:t>s</w:t>
      </w:r>
      <w:r w:rsidR="00C12614" w:rsidRPr="00C12614">
        <w:rPr>
          <w:rFonts w:eastAsia="Times New Roman" w:cstheme="minorHAnsi"/>
          <w:b/>
          <w:color w:val="3B5F4F"/>
          <w:sz w:val="24"/>
          <w:szCs w:val="24"/>
          <w:lang w:eastAsia="zh-CN"/>
        </w:rPr>
        <w:t xml:space="preserve"> the five areas of focus as well as address</w:t>
      </w:r>
      <w:r w:rsidR="00BB1ECB">
        <w:rPr>
          <w:rFonts w:eastAsia="Times New Roman" w:cstheme="minorHAnsi"/>
          <w:b/>
          <w:color w:val="3B5F4F"/>
          <w:sz w:val="24"/>
          <w:szCs w:val="24"/>
          <w:lang w:eastAsia="zh-CN"/>
        </w:rPr>
        <w:t>ing</w:t>
      </w:r>
      <w:r w:rsidR="00C12614" w:rsidRPr="00C12614">
        <w:rPr>
          <w:rFonts w:eastAsia="Times New Roman" w:cstheme="minorHAnsi"/>
          <w:b/>
          <w:color w:val="3B5F4F"/>
          <w:sz w:val="24"/>
          <w:szCs w:val="24"/>
          <w:lang w:eastAsia="zh-CN"/>
        </w:rPr>
        <w:t xml:space="preserve"> new and important areas of focus in nursing, e.g. the opioid crisis, the aging population, recommendations of the Truth and Reconciliation Commission of Canada. </w:t>
      </w:r>
    </w:p>
    <w:p w14:paraId="179BE8E4" w14:textId="1F926A44" w:rsidR="000C4960" w:rsidRDefault="000C4960" w:rsidP="000C4960">
      <w:pPr>
        <w:suppressAutoHyphens/>
        <w:ind w:right="267"/>
        <w:rPr>
          <w:rFonts w:eastAsia="Times New Roman" w:cstheme="minorHAnsi"/>
          <w:sz w:val="24"/>
          <w:szCs w:val="24"/>
          <w:u w:val="single"/>
          <w:lang w:eastAsia="zh-CN"/>
        </w:rPr>
      </w:pPr>
    </w:p>
    <w:p w14:paraId="2E354655"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12CFF661" w14:textId="71591B5E" w:rsidR="007F6E4B" w:rsidRPr="007F6E4B" w:rsidRDefault="007F6E4B" w:rsidP="007F6E4B">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 xml:space="preserve">The draft plan for the revised curriculum includes fewer electives than in the present curriculum. </w:t>
      </w:r>
    </w:p>
    <w:p w14:paraId="3E9EAB0C" w14:textId="77777777" w:rsidR="007F6E4B" w:rsidRPr="007F6E4B" w:rsidRDefault="007F6E4B" w:rsidP="007F6E4B">
      <w:pPr>
        <w:autoSpaceDE w:val="0"/>
        <w:autoSpaceDN w:val="0"/>
        <w:adjustRightInd w:val="0"/>
        <w:rPr>
          <w:rFonts w:eastAsia="Times New Roman" w:cstheme="minorHAnsi"/>
          <w:color w:val="000000" w:themeColor="text1"/>
          <w:sz w:val="24"/>
          <w:szCs w:val="24"/>
        </w:rPr>
      </w:pPr>
    </w:p>
    <w:p w14:paraId="7D14A929" w14:textId="2251FFD7" w:rsidR="00946B2F" w:rsidRPr="007F6E4B" w:rsidRDefault="00BB1ECB" w:rsidP="00504629">
      <w:pPr>
        <w:autoSpaceDE w:val="0"/>
        <w:autoSpaceDN w:val="0"/>
        <w:adjustRightInd w:val="0"/>
        <w:rPr>
          <w:rFonts w:eastAsia="Times New Roman" w:cstheme="minorHAnsi"/>
          <w:color w:val="000000" w:themeColor="text1"/>
          <w:sz w:val="24"/>
          <w:szCs w:val="24"/>
        </w:rPr>
      </w:pPr>
      <w:r>
        <w:rPr>
          <w:rFonts w:eastAsia="Times New Roman" w:cstheme="minorHAnsi"/>
          <w:color w:val="000000" w:themeColor="text1"/>
          <w:sz w:val="24"/>
          <w:szCs w:val="24"/>
        </w:rPr>
        <w:t>The program’s emphasis on</w:t>
      </w:r>
      <w:r w:rsidR="007F6E4B" w:rsidRPr="007F6E4B">
        <w:rPr>
          <w:rFonts w:eastAsia="Times New Roman" w:cstheme="minorHAnsi"/>
          <w:color w:val="000000" w:themeColor="text1"/>
          <w:sz w:val="24"/>
          <w:szCs w:val="24"/>
        </w:rPr>
        <w:t xml:space="preserve"> social justice means that </w:t>
      </w:r>
      <w:r>
        <w:rPr>
          <w:rFonts w:eastAsia="Times New Roman" w:cstheme="minorHAnsi"/>
          <w:color w:val="000000" w:themeColor="text1"/>
          <w:sz w:val="24"/>
          <w:szCs w:val="24"/>
        </w:rPr>
        <w:t>continued efforts have been made</w:t>
      </w:r>
      <w:r w:rsidR="007F6E4B" w:rsidRPr="007F6E4B">
        <w:rPr>
          <w:rFonts w:eastAsia="Times New Roman" w:cstheme="minorHAnsi"/>
          <w:color w:val="000000" w:themeColor="text1"/>
          <w:sz w:val="24"/>
          <w:szCs w:val="24"/>
        </w:rPr>
        <w:t xml:space="preserve"> to integrate recommendations of the Truth and Reconciliation Commission</w:t>
      </w:r>
      <w:r>
        <w:rPr>
          <w:rFonts w:eastAsia="Times New Roman" w:cstheme="minorHAnsi"/>
          <w:color w:val="000000" w:themeColor="text1"/>
          <w:sz w:val="24"/>
          <w:szCs w:val="24"/>
        </w:rPr>
        <w:t xml:space="preserve">. </w:t>
      </w:r>
      <w:r w:rsidR="007F6E4B" w:rsidRPr="007F6E4B">
        <w:rPr>
          <w:rFonts w:eastAsia="Times New Roman" w:cstheme="minorHAnsi"/>
          <w:color w:val="000000" w:themeColor="text1"/>
          <w:sz w:val="24"/>
          <w:szCs w:val="24"/>
        </w:rPr>
        <w:t>These recommendations are now also part of the new College of Nurses of Ontario competencies and therefore</w:t>
      </w:r>
      <w:r w:rsidR="00877BFF">
        <w:rPr>
          <w:rFonts w:eastAsia="Times New Roman" w:cstheme="minorHAnsi"/>
          <w:color w:val="000000" w:themeColor="text1"/>
          <w:sz w:val="24"/>
          <w:szCs w:val="24"/>
        </w:rPr>
        <w:t xml:space="preserve"> will</w:t>
      </w:r>
      <w:r w:rsidR="007F6E4B" w:rsidRPr="007F6E4B">
        <w:rPr>
          <w:rFonts w:eastAsia="Times New Roman" w:cstheme="minorHAnsi"/>
          <w:color w:val="000000" w:themeColor="text1"/>
          <w:sz w:val="24"/>
          <w:szCs w:val="24"/>
        </w:rPr>
        <w:t xml:space="preserve"> be addressed. All students at Trent, including nursing students, are required to take one Indigenous Studies course. Students in NURS</w:t>
      </w:r>
      <w:r>
        <w:rPr>
          <w:rFonts w:eastAsia="Times New Roman" w:cstheme="minorHAnsi"/>
          <w:color w:val="000000" w:themeColor="text1"/>
          <w:sz w:val="24"/>
          <w:szCs w:val="24"/>
        </w:rPr>
        <w:t xml:space="preserve"> </w:t>
      </w:r>
      <w:r w:rsidR="007F6E4B" w:rsidRPr="007F6E4B">
        <w:rPr>
          <w:rFonts w:eastAsia="Times New Roman" w:cstheme="minorHAnsi"/>
          <w:color w:val="000000" w:themeColor="text1"/>
          <w:sz w:val="24"/>
          <w:szCs w:val="24"/>
        </w:rPr>
        <w:t>1000 receive an introduction to First Nations spirituality and healing practices. Students are also introduced to the concept of trauma and trauma-informed care in NURS</w:t>
      </w:r>
      <w:r>
        <w:rPr>
          <w:rFonts w:eastAsia="Times New Roman" w:cstheme="minorHAnsi"/>
          <w:color w:val="000000" w:themeColor="text1"/>
          <w:sz w:val="24"/>
          <w:szCs w:val="24"/>
        </w:rPr>
        <w:t xml:space="preserve"> </w:t>
      </w:r>
      <w:r w:rsidR="007F6E4B" w:rsidRPr="007F6E4B">
        <w:rPr>
          <w:rFonts w:eastAsia="Times New Roman" w:cstheme="minorHAnsi"/>
          <w:color w:val="000000" w:themeColor="text1"/>
          <w:sz w:val="24"/>
          <w:szCs w:val="24"/>
        </w:rPr>
        <w:t>1000 and opioid crisis is being integrated into pharmacology (NURS</w:t>
      </w:r>
      <w:r>
        <w:rPr>
          <w:rFonts w:eastAsia="Times New Roman" w:cstheme="minorHAnsi"/>
          <w:color w:val="000000" w:themeColor="text1"/>
          <w:sz w:val="24"/>
          <w:szCs w:val="24"/>
        </w:rPr>
        <w:t xml:space="preserve"> </w:t>
      </w:r>
      <w:r w:rsidR="007F6E4B" w:rsidRPr="007F6E4B">
        <w:rPr>
          <w:rFonts w:eastAsia="Times New Roman" w:cstheme="minorHAnsi"/>
          <w:color w:val="000000" w:themeColor="text1"/>
          <w:sz w:val="24"/>
          <w:szCs w:val="24"/>
        </w:rPr>
        <w:t>3550) and harm reduction into NURS 2000.</w:t>
      </w:r>
    </w:p>
    <w:p w14:paraId="271F4156" w14:textId="1825D16C" w:rsidR="00504629" w:rsidRDefault="00504629">
      <w:pPr>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br w:type="page"/>
      </w:r>
    </w:p>
    <w:p w14:paraId="1CAA93C4" w14:textId="20233B85" w:rsidR="00166165" w:rsidRPr="00DD57F3" w:rsidRDefault="0066025C" w:rsidP="00DD57F3">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lastRenderedPageBreak/>
        <w:t>Recommendation</w:t>
      </w:r>
      <w:r w:rsidR="008006E4">
        <w:rPr>
          <w:rFonts w:eastAsia="Times New Roman" w:cstheme="minorHAnsi"/>
          <w:b/>
          <w:color w:val="3B5F4F"/>
          <w:sz w:val="24"/>
          <w:szCs w:val="24"/>
          <w:u w:val="single"/>
          <w:lang w:eastAsia="zh-CN"/>
        </w:rPr>
        <w:t xml:space="preserve"> 10</w:t>
      </w:r>
    </w:p>
    <w:p w14:paraId="6C3C851C" w14:textId="5EDF79D6" w:rsidR="006A7CD5" w:rsidRDefault="006A7CD5" w:rsidP="00DD57F3">
      <w:pPr>
        <w:suppressAutoHyphens/>
        <w:ind w:right="267"/>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w:t>
      </w:r>
      <w:r w:rsidR="00BB1ECB">
        <w:rPr>
          <w:rFonts w:eastAsia="Times New Roman" w:cstheme="minorHAnsi"/>
          <w:b/>
          <w:color w:val="3B5F4F"/>
          <w:sz w:val="24"/>
          <w:szCs w:val="24"/>
          <w:lang w:eastAsia="zh-CN"/>
        </w:rPr>
        <w:t>c</w:t>
      </w:r>
      <w:r w:rsidR="00C12614" w:rsidRPr="00C12614">
        <w:rPr>
          <w:rFonts w:eastAsia="Times New Roman" w:cstheme="minorHAnsi"/>
          <w:b/>
          <w:color w:val="3B5F4F"/>
          <w:sz w:val="24"/>
          <w:szCs w:val="24"/>
          <w:lang w:eastAsia="zh-CN"/>
        </w:rPr>
        <w:t xml:space="preserve">ultural </w:t>
      </w:r>
      <w:r>
        <w:rPr>
          <w:rFonts w:eastAsia="Times New Roman" w:cstheme="minorHAnsi"/>
          <w:b/>
          <w:color w:val="3B5F4F"/>
          <w:sz w:val="24"/>
          <w:szCs w:val="24"/>
          <w:lang w:eastAsia="zh-CN"/>
        </w:rPr>
        <w:t xml:space="preserve">safety, cultural competence, </w:t>
      </w:r>
      <w:r w:rsidR="00C12614" w:rsidRPr="00C12614">
        <w:rPr>
          <w:rFonts w:eastAsia="Times New Roman" w:cstheme="minorHAnsi"/>
          <w:b/>
          <w:color w:val="3B5F4F"/>
          <w:sz w:val="24"/>
          <w:szCs w:val="24"/>
          <w:lang w:eastAsia="zh-CN"/>
        </w:rPr>
        <w:t>interpersonal communication and conflict management</w:t>
      </w:r>
      <w:r>
        <w:rPr>
          <w:rFonts w:eastAsia="Times New Roman" w:cstheme="minorHAnsi"/>
          <w:b/>
          <w:color w:val="3B5F4F"/>
          <w:sz w:val="24"/>
          <w:szCs w:val="24"/>
          <w:lang w:eastAsia="zh-CN"/>
        </w:rPr>
        <w:t xml:space="preserve"> </w:t>
      </w:r>
      <w:r w:rsidR="00BB1ECB">
        <w:rPr>
          <w:rFonts w:eastAsia="Times New Roman" w:cstheme="minorHAnsi"/>
          <w:b/>
          <w:color w:val="3B5F4F"/>
          <w:sz w:val="24"/>
          <w:szCs w:val="24"/>
          <w:lang w:eastAsia="zh-CN"/>
        </w:rPr>
        <w:t xml:space="preserve">be better integrated </w:t>
      </w:r>
      <w:r>
        <w:rPr>
          <w:rFonts w:eastAsia="Times New Roman" w:cstheme="minorHAnsi"/>
          <w:b/>
          <w:color w:val="3B5F4F"/>
          <w:sz w:val="24"/>
          <w:szCs w:val="24"/>
          <w:lang w:eastAsia="zh-CN"/>
        </w:rPr>
        <w:t>into the curriculum</w:t>
      </w:r>
      <w:r w:rsidR="00BB1ECB">
        <w:rPr>
          <w:rFonts w:eastAsia="Times New Roman" w:cstheme="minorHAnsi"/>
          <w:b/>
          <w:color w:val="3B5F4F"/>
          <w:sz w:val="24"/>
          <w:szCs w:val="24"/>
          <w:lang w:eastAsia="zh-CN"/>
        </w:rPr>
        <w:t>.</w:t>
      </w:r>
      <w:r>
        <w:rPr>
          <w:rFonts w:eastAsia="Times New Roman" w:cstheme="minorHAnsi"/>
          <w:b/>
          <w:color w:val="3B5F4F"/>
          <w:sz w:val="24"/>
          <w:szCs w:val="24"/>
          <w:lang w:eastAsia="zh-CN"/>
        </w:rPr>
        <w:t xml:space="preserve"> </w:t>
      </w:r>
    </w:p>
    <w:p w14:paraId="0636ABA6" w14:textId="77777777" w:rsidR="006A7CD5" w:rsidRDefault="006A7CD5" w:rsidP="00DD57F3">
      <w:pPr>
        <w:suppressAutoHyphens/>
        <w:ind w:right="267"/>
        <w:rPr>
          <w:rFonts w:eastAsia="Times New Roman" w:cstheme="minorHAnsi"/>
          <w:b/>
          <w:color w:val="3B5F4F"/>
          <w:sz w:val="24"/>
          <w:szCs w:val="24"/>
          <w:lang w:eastAsia="zh-CN"/>
        </w:rPr>
      </w:pPr>
    </w:p>
    <w:p w14:paraId="56D1CB66" w14:textId="68690B8C" w:rsidR="008D6146" w:rsidRPr="006A7CD5" w:rsidRDefault="00C12614" w:rsidP="00DD57F3">
      <w:pPr>
        <w:suppressAutoHyphens/>
        <w:ind w:right="267"/>
        <w:rPr>
          <w:rFonts w:eastAsia="Times New Roman" w:cstheme="minorHAnsi"/>
          <w:i/>
          <w:color w:val="3B5F4F"/>
          <w:sz w:val="24"/>
          <w:szCs w:val="24"/>
          <w:lang w:eastAsia="zh-CN"/>
        </w:rPr>
      </w:pPr>
      <w:r w:rsidRPr="006A7CD5">
        <w:rPr>
          <w:rFonts w:eastAsia="Times New Roman" w:cstheme="minorHAnsi"/>
          <w:i/>
          <w:color w:val="3B5F4F"/>
          <w:sz w:val="24"/>
          <w:szCs w:val="24"/>
          <w:lang w:eastAsia="zh-CN"/>
        </w:rPr>
        <w:t>Given that students are introduced into clinical placement early on in the program, exposure to this content and these concepts should be provided before students are first in clinical placements.</w:t>
      </w:r>
    </w:p>
    <w:p w14:paraId="1958100F" w14:textId="77777777" w:rsidR="00C12614" w:rsidRPr="008D6146" w:rsidRDefault="00C12614" w:rsidP="00DD57F3">
      <w:pPr>
        <w:suppressAutoHyphens/>
        <w:ind w:right="267"/>
        <w:rPr>
          <w:rFonts w:eastAsia="Times New Roman" w:cstheme="minorHAnsi"/>
          <w:sz w:val="20"/>
          <w:szCs w:val="20"/>
          <w:u w:val="single"/>
          <w:lang w:eastAsia="zh-CN"/>
        </w:rPr>
      </w:pPr>
    </w:p>
    <w:p w14:paraId="56CD0331"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541973BA" w14:textId="67E3B404" w:rsidR="006C4DE5" w:rsidRPr="007F6E4B" w:rsidRDefault="007F6E4B" w:rsidP="007F6E4B">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 xml:space="preserve">Students in the first year of the program are introduced to person-centered communication and the concept of culture. In the </w:t>
      </w:r>
      <w:proofErr w:type="gramStart"/>
      <w:r w:rsidRPr="007F6E4B">
        <w:rPr>
          <w:rFonts w:eastAsia="Times New Roman" w:cstheme="minorHAnsi"/>
          <w:color w:val="000000" w:themeColor="text1"/>
          <w:sz w:val="24"/>
          <w:szCs w:val="24"/>
        </w:rPr>
        <w:t>Fall</w:t>
      </w:r>
      <w:proofErr w:type="gramEnd"/>
      <w:r w:rsidRPr="007F6E4B">
        <w:rPr>
          <w:rFonts w:eastAsia="Times New Roman" w:cstheme="minorHAnsi"/>
          <w:color w:val="000000" w:themeColor="text1"/>
          <w:sz w:val="24"/>
          <w:szCs w:val="24"/>
        </w:rPr>
        <w:t xml:space="preserve"> of 2019, NURS</w:t>
      </w:r>
      <w:r w:rsidR="002B28AC">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1000 will include an intensified focus on self-awareness and helping/therapeutic communication, and include cross-cultural and cross-generational considerations. Students in the first year of the program also learn the Gentle Persuasive Approach to assist them in providing person-centred, compassionate care to individuals with dementia. In their second year, TFSON students in the Compressed and Collaborative programs become certified in Nonviolent Crisis Intervention which equips them with an effective framework to safely manage and prevent difficult behaviour.</w:t>
      </w:r>
    </w:p>
    <w:p w14:paraId="5099EED6" w14:textId="77777777" w:rsidR="007F6E4B" w:rsidRPr="0012594B" w:rsidRDefault="007F6E4B" w:rsidP="007F6E4B">
      <w:pPr>
        <w:autoSpaceDE w:val="0"/>
        <w:autoSpaceDN w:val="0"/>
        <w:adjustRightInd w:val="0"/>
        <w:rPr>
          <w:sz w:val="24"/>
          <w:szCs w:val="24"/>
        </w:rPr>
      </w:pPr>
    </w:p>
    <w:p w14:paraId="6F7989D9" w14:textId="020FADBE" w:rsidR="00166165" w:rsidRPr="00DD57F3" w:rsidRDefault="0066025C" w:rsidP="00DD57F3">
      <w:pPr>
        <w:suppressAutoHyphens/>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w:t>
      </w:r>
      <w:r w:rsidR="008006E4">
        <w:rPr>
          <w:rFonts w:eastAsia="Times New Roman" w:cstheme="minorHAnsi"/>
          <w:b/>
          <w:color w:val="3B5F4F"/>
          <w:sz w:val="24"/>
          <w:szCs w:val="24"/>
          <w:u w:val="single"/>
          <w:lang w:eastAsia="zh-CN"/>
        </w:rPr>
        <w:t xml:space="preserve"> 11</w:t>
      </w:r>
    </w:p>
    <w:p w14:paraId="523E1953" w14:textId="5EE1504C" w:rsidR="00B83768" w:rsidRDefault="00C12614" w:rsidP="00C12614">
      <w:pPr>
        <w:spacing w:after="160" w:line="259" w:lineRule="auto"/>
        <w:contextualSpacing/>
        <w:rPr>
          <w:rFonts w:eastAsia="Times New Roman" w:cstheme="minorHAnsi"/>
          <w:b/>
          <w:color w:val="3B5F4F"/>
          <w:sz w:val="24"/>
          <w:szCs w:val="24"/>
          <w:lang w:eastAsia="zh-CN"/>
        </w:rPr>
      </w:pPr>
      <w:r w:rsidRPr="00C12614">
        <w:rPr>
          <w:rFonts w:eastAsia="Times New Roman" w:cstheme="minorHAnsi"/>
          <w:b/>
          <w:color w:val="3B5F4F"/>
          <w:sz w:val="24"/>
          <w:szCs w:val="24"/>
          <w:lang w:eastAsia="zh-CN"/>
        </w:rPr>
        <w:t xml:space="preserve">That </w:t>
      </w:r>
      <w:r w:rsidR="00B83768">
        <w:rPr>
          <w:rFonts w:eastAsia="Times New Roman" w:cstheme="minorHAnsi"/>
          <w:b/>
          <w:color w:val="3B5F4F"/>
          <w:sz w:val="24"/>
          <w:szCs w:val="24"/>
          <w:lang w:eastAsia="zh-CN"/>
        </w:rPr>
        <w:t xml:space="preserve">the School consider changing the </w:t>
      </w:r>
      <w:r w:rsidRPr="00C12614">
        <w:rPr>
          <w:rFonts w:eastAsia="Times New Roman" w:cstheme="minorHAnsi"/>
          <w:b/>
          <w:color w:val="3B5F4F"/>
          <w:sz w:val="24"/>
          <w:szCs w:val="24"/>
          <w:lang w:eastAsia="zh-CN"/>
        </w:rPr>
        <w:t xml:space="preserve">system by which the NARS (Non-Academic Requirements) are collected and records kept. </w:t>
      </w:r>
    </w:p>
    <w:p w14:paraId="4CFC8BBE" w14:textId="77777777" w:rsidR="00B83768" w:rsidRDefault="00B83768" w:rsidP="00C12614">
      <w:pPr>
        <w:spacing w:after="160" w:line="259" w:lineRule="auto"/>
        <w:contextualSpacing/>
        <w:rPr>
          <w:rFonts w:eastAsia="Times New Roman" w:cstheme="minorHAnsi"/>
          <w:b/>
          <w:color w:val="3B5F4F"/>
          <w:sz w:val="24"/>
          <w:szCs w:val="24"/>
          <w:lang w:eastAsia="zh-CN"/>
        </w:rPr>
      </w:pPr>
    </w:p>
    <w:p w14:paraId="58018F0C" w14:textId="62548E9A" w:rsidR="00504629" w:rsidRPr="00F12773" w:rsidRDefault="0066025C" w:rsidP="00504629">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36837ECC" w14:textId="4E42B63C" w:rsidR="002876A8" w:rsidRPr="007F6E4B" w:rsidRDefault="007F6E4B" w:rsidP="007F6E4B">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In order to streamline the NARs process</w:t>
      </w:r>
      <w:r w:rsidR="002B28AC">
        <w:rPr>
          <w:rFonts w:eastAsia="Times New Roman" w:cstheme="minorHAnsi"/>
          <w:color w:val="000000" w:themeColor="text1"/>
          <w:sz w:val="24"/>
          <w:szCs w:val="24"/>
        </w:rPr>
        <w:t xml:space="preserve">, the School has </w:t>
      </w:r>
      <w:r w:rsidRPr="007F6E4B">
        <w:rPr>
          <w:rFonts w:eastAsia="Times New Roman" w:cstheme="minorHAnsi"/>
          <w:color w:val="000000" w:themeColor="text1"/>
          <w:sz w:val="24"/>
          <w:szCs w:val="24"/>
        </w:rPr>
        <w:t xml:space="preserve">outsourced </w:t>
      </w:r>
      <w:r w:rsidR="002B28AC">
        <w:rPr>
          <w:rFonts w:eastAsia="Times New Roman" w:cstheme="minorHAnsi"/>
          <w:color w:val="000000" w:themeColor="text1"/>
          <w:sz w:val="24"/>
          <w:szCs w:val="24"/>
        </w:rPr>
        <w:t>its</w:t>
      </w:r>
      <w:r w:rsidRPr="007F6E4B">
        <w:rPr>
          <w:rFonts w:eastAsia="Times New Roman" w:cstheme="minorHAnsi"/>
          <w:color w:val="000000" w:themeColor="text1"/>
          <w:sz w:val="24"/>
          <w:szCs w:val="24"/>
        </w:rPr>
        <w:t xml:space="preserve"> NARs tracking to a Canadian company called Synergy Gateway. A number of Universities and Colleges in the province use Synergy. This new system permits students to submit help desk tickets 24/7 and they also have access to a virtual doctor (OHIP covered) who can order lab testing, conduct follow ups, review lab testing results, complete forms</w:t>
      </w:r>
      <w:r w:rsidR="002B28AC">
        <w:rPr>
          <w:rFonts w:eastAsia="Times New Roman" w:cstheme="minorHAnsi"/>
          <w:color w:val="000000" w:themeColor="text1"/>
          <w:sz w:val="24"/>
          <w:szCs w:val="24"/>
        </w:rPr>
        <w:t xml:space="preserve"> </w:t>
      </w:r>
      <w:r w:rsidRPr="007F6E4B">
        <w:rPr>
          <w:rFonts w:eastAsia="Times New Roman" w:cstheme="minorHAnsi"/>
          <w:color w:val="000000" w:themeColor="text1"/>
          <w:sz w:val="24"/>
          <w:szCs w:val="24"/>
        </w:rPr>
        <w:t xml:space="preserve">and answer questions. </w:t>
      </w:r>
      <w:r w:rsidR="002B28AC">
        <w:rPr>
          <w:rFonts w:eastAsia="Times New Roman" w:cstheme="minorHAnsi"/>
          <w:color w:val="000000" w:themeColor="text1"/>
          <w:sz w:val="24"/>
          <w:szCs w:val="24"/>
        </w:rPr>
        <w:t>The School</w:t>
      </w:r>
      <w:r w:rsidRPr="007F6E4B">
        <w:rPr>
          <w:rFonts w:eastAsia="Times New Roman" w:cstheme="minorHAnsi"/>
          <w:color w:val="000000" w:themeColor="text1"/>
          <w:sz w:val="24"/>
          <w:szCs w:val="24"/>
        </w:rPr>
        <w:t xml:space="preserve"> will review the process and continue to work with Synergy to </w:t>
      </w:r>
      <w:r w:rsidR="002B28AC">
        <w:rPr>
          <w:rFonts w:eastAsia="Times New Roman" w:cstheme="minorHAnsi"/>
          <w:color w:val="000000" w:themeColor="text1"/>
          <w:sz w:val="24"/>
          <w:szCs w:val="24"/>
        </w:rPr>
        <w:t>improve the process.</w:t>
      </w:r>
    </w:p>
    <w:p w14:paraId="4666C7AB" w14:textId="77777777" w:rsidR="007F6E4B" w:rsidRDefault="007F6E4B" w:rsidP="007F6E4B">
      <w:pPr>
        <w:tabs>
          <w:tab w:val="left" w:pos="1560"/>
          <w:tab w:val="right" w:pos="5760"/>
        </w:tabs>
        <w:rPr>
          <w:rFonts w:eastAsia="Times New Roman" w:cstheme="minorHAnsi"/>
          <w:color w:val="000000" w:themeColor="text1"/>
          <w:sz w:val="24"/>
          <w:szCs w:val="24"/>
        </w:rPr>
      </w:pPr>
    </w:p>
    <w:p w14:paraId="136E0CB0" w14:textId="3BEDFA1A" w:rsidR="0012594B" w:rsidRPr="00DD57F3" w:rsidRDefault="0066025C" w:rsidP="00B83768">
      <w:pPr>
        <w:spacing w:after="160" w:line="259" w:lineRule="auto"/>
        <w:contextualSpacing/>
        <w:rPr>
          <w:rFonts w:eastAsia="Times New Roman" w:cstheme="minorHAnsi"/>
          <w:b/>
          <w:color w:val="3B5F4F"/>
          <w:sz w:val="24"/>
          <w:szCs w:val="24"/>
          <w:u w:val="single"/>
          <w:lang w:eastAsia="zh-CN"/>
        </w:rPr>
      </w:pPr>
      <w:r>
        <w:rPr>
          <w:rFonts w:eastAsia="Times New Roman" w:cstheme="minorHAnsi"/>
          <w:b/>
          <w:color w:val="3B5F4F"/>
          <w:sz w:val="24"/>
          <w:szCs w:val="24"/>
          <w:u w:val="single"/>
          <w:lang w:eastAsia="zh-CN"/>
        </w:rPr>
        <w:t>Recommendation</w:t>
      </w:r>
      <w:r w:rsidR="008006E4">
        <w:rPr>
          <w:rFonts w:eastAsia="Times New Roman" w:cstheme="minorHAnsi"/>
          <w:b/>
          <w:color w:val="3B5F4F"/>
          <w:sz w:val="24"/>
          <w:szCs w:val="24"/>
          <w:u w:val="single"/>
          <w:lang w:eastAsia="zh-CN"/>
        </w:rPr>
        <w:t xml:space="preserve"> 12</w:t>
      </w:r>
    </w:p>
    <w:p w14:paraId="54FC3171" w14:textId="77777777" w:rsidR="00C12614" w:rsidRPr="00C12614" w:rsidRDefault="00C12614" w:rsidP="00C12614">
      <w:pPr>
        <w:spacing w:after="160" w:line="259" w:lineRule="auto"/>
        <w:contextualSpacing/>
        <w:rPr>
          <w:rFonts w:eastAsia="Times New Roman" w:cstheme="minorHAnsi"/>
          <w:b/>
          <w:color w:val="3B5F4F"/>
          <w:sz w:val="24"/>
          <w:szCs w:val="24"/>
          <w:lang w:eastAsia="zh-CN"/>
        </w:rPr>
      </w:pPr>
      <w:r w:rsidRPr="00C12614">
        <w:rPr>
          <w:rFonts w:eastAsia="Times New Roman" w:cstheme="minorHAnsi"/>
          <w:b/>
          <w:color w:val="3B5F4F"/>
          <w:sz w:val="24"/>
          <w:szCs w:val="24"/>
          <w:lang w:eastAsia="zh-CN"/>
        </w:rPr>
        <w:t>That the second year community placements be assessed, on an ongoing basis, for level of quality in terms of being able to provide experiences for students to meet course learning outcomes.</w:t>
      </w:r>
    </w:p>
    <w:p w14:paraId="3980C5E3"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770302C5" w14:textId="77777777" w:rsidR="0066025C" w:rsidRPr="00F12773" w:rsidRDefault="0066025C" w:rsidP="0066025C">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Joint Response by School &amp; Dean</w:t>
      </w:r>
    </w:p>
    <w:p w14:paraId="749AC590" w14:textId="7CBBF6C4" w:rsidR="00C12614" w:rsidRPr="007F6E4B" w:rsidRDefault="007F6E4B" w:rsidP="007F6E4B">
      <w:pPr>
        <w:autoSpaceDE w:val="0"/>
        <w:autoSpaceDN w:val="0"/>
        <w:adjustRightInd w:val="0"/>
        <w:rPr>
          <w:rFonts w:eastAsia="Times New Roman" w:cstheme="minorHAnsi"/>
          <w:color w:val="000000" w:themeColor="text1"/>
          <w:sz w:val="24"/>
          <w:szCs w:val="24"/>
        </w:rPr>
      </w:pPr>
      <w:r w:rsidRPr="007F6E4B">
        <w:rPr>
          <w:rFonts w:eastAsia="Times New Roman" w:cstheme="minorHAnsi"/>
          <w:color w:val="000000" w:themeColor="text1"/>
          <w:sz w:val="24"/>
          <w:szCs w:val="24"/>
        </w:rPr>
        <w:t>This is done on an ongoing basis</w:t>
      </w:r>
      <w:r w:rsidR="002B28AC">
        <w:rPr>
          <w:rFonts w:eastAsia="Times New Roman" w:cstheme="minorHAnsi"/>
          <w:color w:val="000000" w:themeColor="text1"/>
          <w:sz w:val="24"/>
          <w:szCs w:val="24"/>
        </w:rPr>
        <w:t>. T</w:t>
      </w:r>
      <w:r w:rsidRPr="007F6E4B">
        <w:rPr>
          <w:rFonts w:eastAsia="Times New Roman" w:cstheme="minorHAnsi"/>
          <w:color w:val="000000" w:themeColor="text1"/>
          <w:sz w:val="24"/>
          <w:szCs w:val="24"/>
        </w:rPr>
        <w:t xml:space="preserve">hese assessments influence selection of placements and inform the curriculum revision process. </w:t>
      </w:r>
      <w:r w:rsidR="002B28AC">
        <w:rPr>
          <w:rFonts w:eastAsia="Times New Roman" w:cstheme="minorHAnsi"/>
          <w:color w:val="000000" w:themeColor="text1"/>
          <w:sz w:val="24"/>
          <w:szCs w:val="24"/>
        </w:rPr>
        <w:t>The School recognizes that I</w:t>
      </w:r>
      <w:r w:rsidRPr="007F6E4B">
        <w:rPr>
          <w:rFonts w:eastAsia="Times New Roman" w:cstheme="minorHAnsi"/>
          <w:color w:val="000000" w:themeColor="text1"/>
          <w:sz w:val="24"/>
          <w:szCs w:val="24"/>
        </w:rPr>
        <w:t>nterdisciplinary work is valuable</w:t>
      </w:r>
      <w:r w:rsidR="002B28AC">
        <w:rPr>
          <w:rFonts w:eastAsia="Times New Roman" w:cstheme="minorHAnsi"/>
          <w:color w:val="000000" w:themeColor="text1"/>
          <w:sz w:val="24"/>
          <w:szCs w:val="24"/>
        </w:rPr>
        <w:t xml:space="preserve"> and </w:t>
      </w:r>
      <w:r w:rsidRPr="007F6E4B">
        <w:rPr>
          <w:rFonts w:eastAsia="Times New Roman" w:cstheme="minorHAnsi"/>
          <w:color w:val="000000" w:themeColor="text1"/>
          <w:sz w:val="24"/>
          <w:szCs w:val="24"/>
        </w:rPr>
        <w:t>strive</w:t>
      </w:r>
      <w:r w:rsidR="002B28AC">
        <w:rPr>
          <w:rFonts w:eastAsia="Times New Roman" w:cstheme="minorHAnsi"/>
          <w:color w:val="000000" w:themeColor="text1"/>
          <w:sz w:val="24"/>
          <w:szCs w:val="24"/>
        </w:rPr>
        <w:t>s</w:t>
      </w:r>
      <w:r w:rsidRPr="007F6E4B">
        <w:rPr>
          <w:rFonts w:eastAsia="Times New Roman" w:cstheme="minorHAnsi"/>
          <w:color w:val="000000" w:themeColor="text1"/>
          <w:sz w:val="24"/>
          <w:szCs w:val="24"/>
        </w:rPr>
        <w:t xml:space="preserve"> to provide experiences </w:t>
      </w:r>
      <w:r w:rsidR="0056102B" w:rsidRPr="007F6E4B">
        <w:rPr>
          <w:rFonts w:eastAsia="Times New Roman" w:cstheme="minorHAnsi"/>
          <w:color w:val="000000" w:themeColor="text1"/>
          <w:sz w:val="24"/>
          <w:szCs w:val="24"/>
        </w:rPr>
        <w:t>that help</w:t>
      </w:r>
      <w:r w:rsidRPr="007F6E4B">
        <w:rPr>
          <w:rFonts w:eastAsia="Times New Roman" w:cstheme="minorHAnsi"/>
          <w:color w:val="000000" w:themeColor="text1"/>
          <w:sz w:val="24"/>
          <w:szCs w:val="24"/>
        </w:rPr>
        <w:t xml:space="preserve"> the student gain the knowledge and skill that will ultimately be incorporated into nursing practice. This is an ongoing challenge and our curriculum revision planning will take these factors into account.</w:t>
      </w:r>
    </w:p>
    <w:p w14:paraId="22FFC234" w14:textId="60738D5E" w:rsidR="00C12614" w:rsidRDefault="00C12614" w:rsidP="0012594B">
      <w:pPr>
        <w:rPr>
          <w:rFonts w:eastAsia="Times New Roman" w:cstheme="minorHAnsi"/>
          <w:color w:val="000000" w:themeColor="text1"/>
          <w:sz w:val="24"/>
          <w:szCs w:val="24"/>
        </w:rPr>
      </w:pPr>
    </w:p>
    <w:p w14:paraId="4C033B6B" w14:textId="54657A90" w:rsidR="007F6E4B" w:rsidRDefault="007F6E4B">
      <w:pPr>
        <w:rPr>
          <w:rFonts w:eastAsia="Times New Roman" w:cstheme="minorHAnsi"/>
          <w:color w:val="000000" w:themeColor="text1"/>
          <w:sz w:val="24"/>
          <w:szCs w:val="24"/>
        </w:rPr>
      </w:pPr>
      <w:r>
        <w:rPr>
          <w:rFonts w:eastAsia="Times New Roman" w:cstheme="minorHAnsi"/>
          <w:color w:val="000000" w:themeColor="text1"/>
          <w:sz w:val="24"/>
          <w:szCs w:val="24"/>
        </w:rPr>
        <w:br w:type="page"/>
      </w:r>
    </w:p>
    <w:p w14:paraId="2D73C39B" w14:textId="77777777" w:rsidR="00C959E2" w:rsidRPr="001D525A" w:rsidRDefault="00DD57F3" w:rsidP="00DC3FB9">
      <w:pPr>
        <w:tabs>
          <w:tab w:val="left" w:pos="1560"/>
          <w:tab w:val="right" w:pos="5760"/>
        </w:tabs>
        <w:rPr>
          <w:rFonts w:ascii="Arial Black" w:eastAsia="Times New Roman" w:hAnsi="Arial Black" w:cs="Arial"/>
          <w:sz w:val="28"/>
          <w:szCs w:val="28"/>
          <w:lang w:val="en-US"/>
        </w:rPr>
      </w:pPr>
      <w:r>
        <w:rPr>
          <w:rFonts w:ascii="Arial Black" w:eastAsia="Times New Roman" w:hAnsi="Arial Black" w:cs="Arial"/>
          <w:b/>
          <w:sz w:val="28"/>
          <w:szCs w:val="28"/>
          <w:lang w:val="en-US"/>
        </w:rPr>
        <w:lastRenderedPageBreak/>
        <w:t>I</w:t>
      </w:r>
      <w:r w:rsidR="00C959E2" w:rsidRPr="001D525A">
        <w:rPr>
          <w:rFonts w:ascii="Arial Black" w:eastAsia="Times New Roman" w:hAnsi="Arial Black" w:cs="Arial"/>
          <w:b/>
          <w:sz w:val="28"/>
          <w:szCs w:val="28"/>
          <w:lang w:val="en-US"/>
        </w:rPr>
        <w:t>MPLEMENTATION PLAN</w:t>
      </w:r>
      <w:r w:rsidR="00C959E2" w:rsidRPr="001D525A">
        <w:rPr>
          <w:rFonts w:ascii="Arial Black" w:eastAsia="Times New Roman" w:hAnsi="Arial Black" w:cs="Arial"/>
          <w:sz w:val="28"/>
          <w:szCs w:val="28"/>
          <w:lang w:val="en-US"/>
        </w:rPr>
        <w:t xml:space="preserve"> </w:t>
      </w:r>
    </w:p>
    <w:p w14:paraId="4D23D425" w14:textId="77777777" w:rsidR="00C959E2" w:rsidRPr="00397B0F" w:rsidRDefault="00C959E2" w:rsidP="00DC3FB9">
      <w:pPr>
        <w:tabs>
          <w:tab w:val="left" w:pos="567"/>
        </w:tabs>
        <w:rPr>
          <w:rFonts w:eastAsia="Times New Roman" w:cs="Arial"/>
          <w:sz w:val="24"/>
          <w:szCs w:val="24"/>
          <w:lang w:val="en-US"/>
        </w:rPr>
      </w:pPr>
      <w:r w:rsidRPr="00397B0F">
        <w:rPr>
          <w:rFonts w:ascii="Calibri" w:eastAsia="Times New Roman" w:hAnsi="Calibri" w:cs="Arial"/>
          <w:sz w:val="24"/>
          <w:szCs w:val="24"/>
          <w:lang w:val="en-US"/>
        </w:rPr>
        <w:t xml:space="preserve">The applicable Dean, in consultation with the Department Chair/Director of the relevant Academic Unit shall be responsible for monitoring the Implementation Plan. </w:t>
      </w:r>
      <w:r w:rsidRPr="00397B0F">
        <w:rPr>
          <w:rFonts w:eastAsia="Times New Roman" w:cs="Arial"/>
          <w:sz w:val="24"/>
          <w:szCs w:val="24"/>
          <w:lang w:val="en-US"/>
        </w:rPr>
        <w:t xml:space="preserve">The Reporting Date for submitting a follow-up Implementation Report is indicated below and is the responsibility of the Academic Unit in consultation with the Dean. </w:t>
      </w:r>
    </w:p>
    <w:p w14:paraId="728E6A2D" w14:textId="77777777" w:rsidR="00C959E2" w:rsidRPr="00DD5D55" w:rsidRDefault="00C959E2" w:rsidP="00DC3FB9">
      <w:pPr>
        <w:tabs>
          <w:tab w:val="left" w:pos="567"/>
        </w:tabs>
        <w:rPr>
          <w:rFonts w:ascii="Calibri" w:eastAsia="Times New Roman" w:hAnsi="Calibri" w:cs="Arial"/>
          <w:color w:val="3B5F4F"/>
          <w:lang w:val="en-US"/>
        </w:rPr>
      </w:pPr>
    </w:p>
    <w:p w14:paraId="5C8C3F46" w14:textId="18CBA356" w:rsidR="004D25CE" w:rsidRDefault="00C959E2" w:rsidP="00DC3FB9">
      <w:pPr>
        <w:tabs>
          <w:tab w:val="left" w:pos="567"/>
        </w:tabs>
        <w:jc w:val="center"/>
        <w:rPr>
          <w:rFonts w:ascii="Arial Black" w:eastAsia="Times New Roman" w:hAnsi="Arial Black" w:cs="Arial"/>
          <w:b/>
          <w:color w:val="ED7D31" w:themeColor="accent2"/>
          <w:sz w:val="26"/>
          <w:szCs w:val="26"/>
          <w:lang w:val="en-US"/>
        </w:rPr>
      </w:pPr>
      <w:r w:rsidRPr="0067700C">
        <w:rPr>
          <w:rFonts w:ascii="Arial Black" w:eastAsia="Times New Roman" w:hAnsi="Arial Black" w:cs="Arial"/>
          <w:b/>
          <w:color w:val="ED7D31" w:themeColor="accent2"/>
          <w:sz w:val="26"/>
          <w:szCs w:val="26"/>
          <w:lang w:val="en-US"/>
        </w:rPr>
        <w:t xml:space="preserve">DUE DATE FOR IMPLEMENTATION REPORT: </w:t>
      </w:r>
      <w:r w:rsidR="0029363F">
        <w:rPr>
          <w:rFonts w:ascii="Arial Black" w:eastAsia="Times New Roman" w:hAnsi="Arial Black" w:cs="Arial"/>
          <w:b/>
          <w:color w:val="ED7D31" w:themeColor="accent2"/>
          <w:sz w:val="26"/>
          <w:szCs w:val="26"/>
          <w:lang w:val="en-US"/>
        </w:rPr>
        <w:t>October</w:t>
      </w:r>
      <w:r w:rsidR="00030166" w:rsidRPr="0029363F">
        <w:rPr>
          <w:rFonts w:ascii="Arial Black" w:eastAsia="Times New Roman" w:hAnsi="Arial Black" w:cs="Arial"/>
          <w:b/>
          <w:color w:val="ED7D31" w:themeColor="accent2"/>
          <w:sz w:val="26"/>
          <w:szCs w:val="26"/>
          <w:lang w:val="en-US"/>
        </w:rPr>
        <w:t xml:space="preserve"> 1</w:t>
      </w:r>
      <w:r w:rsidR="00C12614">
        <w:rPr>
          <w:rFonts w:ascii="Arial Black" w:eastAsia="Times New Roman" w:hAnsi="Arial Black" w:cs="Arial"/>
          <w:b/>
          <w:color w:val="ED7D31" w:themeColor="accent2"/>
          <w:sz w:val="26"/>
          <w:szCs w:val="26"/>
          <w:lang w:val="en-US"/>
        </w:rPr>
        <w:t>, 2020</w:t>
      </w:r>
    </w:p>
    <w:p w14:paraId="0B64553F" w14:textId="0A60AF72" w:rsidR="00C959E2" w:rsidRDefault="00C959E2" w:rsidP="00DC3FB9">
      <w:pPr>
        <w:tabs>
          <w:tab w:val="left" w:pos="567"/>
        </w:tabs>
        <w:jc w:val="center"/>
        <w:rPr>
          <w:rFonts w:eastAsia="Times New Roman" w:cs="Arial"/>
          <w:color w:val="000000" w:themeColor="text1"/>
          <w:sz w:val="24"/>
          <w:szCs w:val="24"/>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14:paraId="3A37706C" w14:textId="77777777" w:rsidR="00C12614" w:rsidRPr="00C959E2" w:rsidRDefault="00C12614" w:rsidP="00DC3FB9">
      <w:pPr>
        <w:tabs>
          <w:tab w:val="left" w:pos="567"/>
        </w:tabs>
        <w:jc w:val="center"/>
        <w:rPr>
          <w:rFonts w:ascii="Arial Black" w:eastAsia="Times New Roman" w:hAnsi="Arial Black" w:cs="Arial"/>
          <w:b/>
          <w:color w:val="000000" w:themeColor="text1"/>
          <w:sz w:val="26"/>
          <w:szCs w:val="2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3330"/>
        <w:gridCol w:w="1440"/>
      </w:tblGrid>
      <w:tr w:rsidR="00C12614" w:rsidRPr="00AE1B08" w14:paraId="311D181B" w14:textId="77777777" w:rsidTr="00AE1B08">
        <w:tc>
          <w:tcPr>
            <w:tcW w:w="5215" w:type="dxa"/>
            <w:shd w:val="clear" w:color="auto" w:fill="A6A6A6"/>
            <w:vAlign w:val="center"/>
          </w:tcPr>
          <w:p w14:paraId="41D60EC8" w14:textId="77777777" w:rsidR="00C12614" w:rsidRPr="00AE1B08" w:rsidRDefault="00C12614" w:rsidP="00012635">
            <w:pPr>
              <w:jc w:val="center"/>
              <w:rPr>
                <w:rFonts w:eastAsia="Times New Roman" w:cstheme="minorHAnsi"/>
                <w:b/>
                <w:lang w:val="en-US"/>
              </w:rPr>
            </w:pPr>
            <w:r w:rsidRPr="00AE1B08">
              <w:rPr>
                <w:rFonts w:eastAsia="Times New Roman" w:cstheme="minorHAnsi"/>
                <w:b/>
                <w:lang w:val="en-US"/>
              </w:rPr>
              <w:t>Recommendation</w:t>
            </w:r>
          </w:p>
        </w:tc>
        <w:tc>
          <w:tcPr>
            <w:tcW w:w="3330" w:type="dxa"/>
            <w:shd w:val="clear" w:color="auto" w:fill="A6A6A6"/>
            <w:vAlign w:val="center"/>
          </w:tcPr>
          <w:p w14:paraId="4C01DE88" w14:textId="77777777" w:rsidR="00C12614" w:rsidRPr="00AE1B08" w:rsidRDefault="00C12614" w:rsidP="00012635">
            <w:pPr>
              <w:jc w:val="center"/>
              <w:rPr>
                <w:rFonts w:eastAsia="Times New Roman" w:cstheme="minorHAnsi"/>
                <w:b/>
                <w:lang w:val="en-US"/>
              </w:rPr>
            </w:pPr>
            <w:r w:rsidRPr="00AE1B08">
              <w:rPr>
                <w:rFonts w:eastAsia="Times New Roman" w:cstheme="minorHAnsi"/>
                <w:b/>
                <w:lang w:val="en-US"/>
              </w:rPr>
              <w:t>Proposed Follow-Up</w:t>
            </w:r>
          </w:p>
          <w:p w14:paraId="7EC2D301" w14:textId="77777777" w:rsidR="00C12614" w:rsidRPr="00AE1B08" w:rsidRDefault="00C12614" w:rsidP="00012635">
            <w:pPr>
              <w:jc w:val="center"/>
              <w:rPr>
                <w:rFonts w:eastAsia="Times New Roman" w:cstheme="minorHAnsi"/>
                <w:i/>
                <w:sz w:val="18"/>
                <w:szCs w:val="18"/>
                <w:lang w:val="en-US"/>
              </w:rPr>
            </w:pPr>
            <w:r w:rsidRPr="00AE1B08">
              <w:rPr>
                <w:rFonts w:eastAsia="Times New Roman" w:cstheme="minorHAnsi"/>
                <w:i/>
                <w:sz w:val="18"/>
                <w:szCs w:val="18"/>
                <w:lang w:val="en-US"/>
              </w:rPr>
              <w:t>If no follow-up is recommended, please clearly indicate ‘</w:t>
            </w:r>
            <w:r w:rsidRPr="00AE1B08">
              <w:rPr>
                <w:rFonts w:eastAsia="Times New Roman" w:cstheme="minorHAnsi"/>
                <w:i/>
                <w:sz w:val="18"/>
                <w:szCs w:val="18"/>
                <w:u w:val="single"/>
                <w:lang w:val="en-US"/>
              </w:rPr>
              <w:t>No follow up report is required</w:t>
            </w:r>
            <w:r w:rsidRPr="00AE1B08">
              <w:rPr>
                <w:rFonts w:eastAsia="Times New Roman" w:cstheme="minorHAnsi"/>
                <w:i/>
                <w:sz w:val="18"/>
                <w:szCs w:val="18"/>
                <w:lang w:val="en-US"/>
              </w:rPr>
              <w:t>’ and provide rationale.</w:t>
            </w:r>
          </w:p>
          <w:p w14:paraId="1325D822" w14:textId="77777777" w:rsidR="00C12614" w:rsidRPr="00AE1B08" w:rsidRDefault="00C12614" w:rsidP="00012635">
            <w:pPr>
              <w:jc w:val="center"/>
              <w:rPr>
                <w:rFonts w:eastAsia="Times New Roman" w:cstheme="minorHAnsi"/>
                <w:i/>
                <w:sz w:val="18"/>
                <w:szCs w:val="18"/>
                <w:lang w:val="en-US"/>
              </w:rPr>
            </w:pPr>
          </w:p>
          <w:p w14:paraId="383E534E" w14:textId="71A16333" w:rsidR="00C12614" w:rsidRPr="00AE1B08" w:rsidRDefault="00C12614" w:rsidP="00AE1B08">
            <w:pPr>
              <w:jc w:val="center"/>
              <w:rPr>
                <w:rFonts w:eastAsia="Times New Roman" w:cstheme="minorHAnsi"/>
                <w:lang w:val="en-US"/>
              </w:rPr>
            </w:pPr>
            <w:r w:rsidRPr="00AE1B08">
              <w:rPr>
                <w:rFonts w:eastAsia="Times New Roman" w:cstheme="minorHAnsi"/>
                <w:i/>
                <w:sz w:val="18"/>
                <w:szCs w:val="18"/>
                <w:lang w:val="en-US"/>
              </w:rPr>
              <w:t>Indicate specific timeline for completion or addressing recommendation if different than Due Date for Implementation Report</w:t>
            </w:r>
          </w:p>
        </w:tc>
        <w:tc>
          <w:tcPr>
            <w:tcW w:w="1440" w:type="dxa"/>
            <w:shd w:val="clear" w:color="auto" w:fill="A6A6A6"/>
            <w:vAlign w:val="center"/>
          </w:tcPr>
          <w:p w14:paraId="4A0EB406" w14:textId="77777777" w:rsidR="00C12614" w:rsidRPr="00AE1B08" w:rsidRDefault="00C12614" w:rsidP="00012635">
            <w:pPr>
              <w:jc w:val="center"/>
              <w:rPr>
                <w:rFonts w:eastAsia="Times New Roman" w:cstheme="minorHAnsi"/>
                <w:b/>
                <w:lang w:val="en-US"/>
              </w:rPr>
            </w:pPr>
            <w:r w:rsidRPr="00AE1B08">
              <w:rPr>
                <w:rFonts w:eastAsia="Times New Roman" w:cstheme="minorHAnsi"/>
                <w:b/>
                <w:lang w:val="en-US"/>
              </w:rPr>
              <w:t>Position Responsible for Leading Follow-up</w:t>
            </w:r>
          </w:p>
        </w:tc>
      </w:tr>
      <w:tr w:rsidR="00C12614" w:rsidRPr="00AE1B08" w14:paraId="4FD6F61C" w14:textId="77777777" w:rsidTr="00AE1B08">
        <w:tc>
          <w:tcPr>
            <w:tcW w:w="5215" w:type="dxa"/>
            <w:shd w:val="clear" w:color="auto" w:fill="auto"/>
          </w:tcPr>
          <w:p w14:paraId="68BCC728" w14:textId="77777777" w:rsidR="00AE1B08" w:rsidRPr="00AE1B08" w:rsidRDefault="00AE1B08" w:rsidP="00012635">
            <w:pPr>
              <w:contextualSpacing/>
              <w:rPr>
                <w:rFonts w:cstheme="minorHAnsi"/>
              </w:rPr>
            </w:pPr>
          </w:p>
          <w:p w14:paraId="2CA0CC0B" w14:textId="3369465A" w:rsidR="00576DB1" w:rsidRPr="00AE1B08" w:rsidRDefault="00576DB1" w:rsidP="00012635">
            <w:pPr>
              <w:contextualSpacing/>
              <w:rPr>
                <w:rFonts w:cstheme="minorHAnsi"/>
              </w:rPr>
            </w:pPr>
            <w:r w:rsidRPr="00AE1B08">
              <w:rPr>
                <w:rFonts w:cstheme="minorHAnsi"/>
              </w:rPr>
              <w:t>CURRICULUM RENEWAL</w:t>
            </w:r>
          </w:p>
          <w:p w14:paraId="6AAB543F" w14:textId="1196FF13" w:rsidR="00576DB1" w:rsidRPr="00AE1B08" w:rsidRDefault="00576DB1" w:rsidP="00012635">
            <w:pPr>
              <w:contextualSpacing/>
              <w:rPr>
                <w:rFonts w:cstheme="minorHAnsi"/>
              </w:rPr>
            </w:pPr>
          </w:p>
          <w:p w14:paraId="68C4416F" w14:textId="0D9C9D9F" w:rsidR="00576DB1" w:rsidRPr="00AE1B08" w:rsidRDefault="00576DB1" w:rsidP="00012635">
            <w:pPr>
              <w:contextualSpacing/>
              <w:rPr>
                <w:rFonts w:cstheme="minorHAnsi"/>
              </w:rPr>
            </w:pPr>
            <w:r w:rsidRPr="00AE1B08">
              <w:rPr>
                <w:rFonts w:cstheme="minorHAnsi"/>
              </w:rPr>
              <w:t>Recommendation 1</w:t>
            </w:r>
          </w:p>
          <w:p w14:paraId="65E0E484" w14:textId="77777777" w:rsidR="00C12614" w:rsidRPr="00AE1B08" w:rsidRDefault="00C12614" w:rsidP="00012635">
            <w:pPr>
              <w:contextualSpacing/>
              <w:rPr>
                <w:rFonts w:cstheme="minorHAnsi"/>
              </w:rPr>
            </w:pPr>
            <w:r w:rsidRPr="00AE1B08">
              <w:rPr>
                <w:rFonts w:cstheme="minorHAnsi"/>
              </w:rPr>
              <w:t xml:space="preserve">That prior to the next cyclical review, there is a redeveloped curriculum in place. </w:t>
            </w:r>
          </w:p>
          <w:p w14:paraId="74398BAA" w14:textId="77777777" w:rsidR="00576DB1" w:rsidRPr="00AE1B08" w:rsidRDefault="00576DB1" w:rsidP="00012635">
            <w:pPr>
              <w:contextualSpacing/>
              <w:rPr>
                <w:rFonts w:cstheme="minorHAnsi"/>
              </w:rPr>
            </w:pPr>
          </w:p>
          <w:p w14:paraId="598B8C33" w14:textId="2B35DAD2" w:rsidR="00576DB1" w:rsidRPr="00AE1B08" w:rsidRDefault="00576DB1" w:rsidP="00012635">
            <w:pPr>
              <w:contextualSpacing/>
              <w:rPr>
                <w:rFonts w:cstheme="minorHAnsi"/>
              </w:rPr>
            </w:pPr>
            <w:r w:rsidRPr="00AE1B08">
              <w:rPr>
                <w:rFonts w:cstheme="minorHAnsi"/>
              </w:rPr>
              <w:t>Recommendation 2</w:t>
            </w:r>
          </w:p>
          <w:p w14:paraId="259B89D4" w14:textId="3EE3E0A0" w:rsidR="00012635" w:rsidRPr="00AE1B08" w:rsidRDefault="00012635" w:rsidP="00012635">
            <w:pPr>
              <w:pStyle w:val="ListParagraph"/>
              <w:numPr>
                <w:ilvl w:val="0"/>
                <w:numId w:val="45"/>
              </w:numPr>
              <w:ind w:left="330" w:hanging="270"/>
              <w:rPr>
                <w:rFonts w:cstheme="minorHAnsi"/>
              </w:rPr>
            </w:pPr>
            <w:r w:rsidRPr="00AE1B08">
              <w:rPr>
                <w:rFonts w:cstheme="minorHAnsi"/>
              </w:rPr>
              <w:t xml:space="preserve">Add more content and focus on </w:t>
            </w:r>
            <w:r w:rsidR="00877BFF" w:rsidRPr="00AE1B08">
              <w:rPr>
                <w:rFonts w:cstheme="minorHAnsi"/>
              </w:rPr>
              <w:t xml:space="preserve">patient </w:t>
            </w:r>
            <w:r w:rsidRPr="00AE1B08">
              <w:rPr>
                <w:rFonts w:cstheme="minorHAnsi"/>
              </w:rPr>
              <w:t>assessment</w:t>
            </w:r>
          </w:p>
          <w:p w14:paraId="0AA28EDA" w14:textId="77777777" w:rsidR="00012635" w:rsidRPr="00AE1B08" w:rsidRDefault="00012635" w:rsidP="00012635">
            <w:pPr>
              <w:pStyle w:val="ListParagraph"/>
              <w:numPr>
                <w:ilvl w:val="0"/>
                <w:numId w:val="45"/>
              </w:numPr>
              <w:ind w:left="330" w:hanging="270"/>
              <w:rPr>
                <w:rFonts w:cstheme="minorHAnsi"/>
              </w:rPr>
            </w:pPr>
            <w:r w:rsidRPr="00AE1B08">
              <w:rPr>
                <w:rFonts w:cstheme="minorHAnsi"/>
              </w:rPr>
              <w:t xml:space="preserve">Focused content on </w:t>
            </w:r>
            <w:r w:rsidR="00576DB1" w:rsidRPr="00AE1B08">
              <w:rPr>
                <w:rFonts w:cstheme="minorHAnsi"/>
              </w:rPr>
              <w:t>pediatric nursing</w:t>
            </w:r>
          </w:p>
          <w:p w14:paraId="5DE2DD3D" w14:textId="717E3714" w:rsidR="00576DB1" w:rsidRPr="00AE1B08" w:rsidRDefault="0056102B" w:rsidP="00012635">
            <w:pPr>
              <w:pStyle w:val="ListParagraph"/>
              <w:numPr>
                <w:ilvl w:val="0"/>
                <w:numId w:val="45"/>
              </w:numPr>
              <w:ind w:left="330" w:hanging="270"/>
              <w:rPr>
                <w:rFonts w:cstheme="minorHAnsi"/>
              </w:rPr>
            </w:pPr>
            <w:r w:rsidRPr="00AE1B08">
              <w:rPr>
                <w:rFonts w:cstheme="minorHAnsi"/>
              </w:rPr>
              <w:t>Integration</w:t>
            </w:r>
            <w:r w:rsidR="00576DB1" w:rsidRPr="00AE1B08">
              <w:rPr>
                <w:rFonts w:cstheme="minorHAnsi"/>
              </w:rPr>
              <w:t xml:space="preserve"> of a lifespan approach.</w:t>
            </w:r>
          </w:p>
          <w:p w14:paraId="35B15E36" w14:textId="77777777" w:rsidR="00576DB1" w:rsidRPr="00AE1B08" w:rsidRDefault="00576DB1" w:rsidP="00012635">
            <w:pPr>
              <w:contextualSpacing/>
              <w:rPr>
                <w:rFonts w:cstheme="minorHAnsi"/>
              </w:rPr>
            </w:pPr>
          </w:p>
          <w:p w14:paraId="0A000AEC" w14:textId="77777777" w:rsidR="00576DB1" w:rsidRPr="00AE1B08" w:rsidRDefault="00576DB1" w:rsidP="00012635">
            <w:pPr>
              <w:contextualSpacing/>
              <w:rPr>
                <w:rFonts w:cstheme="minorHAnsi"/>
              </w:rPr>
            </w:pPr>
            <w:r w:rsidRPr="00AE1B08">
              <w:rPr>
                <w:rFonts w:cstheme="minorHAnsi"/>
              </w:rPr>
              <w:t>Recommendation 3</w:t>
            </w:r>
          </w:p>
          <w:p w14:paraId="6BA7DF98" w14:textId="15B03FEE" w:rsidR="00576DB1" w:rsidRPr="00AE1B08" w:rsidRDefault="00012635" w:rsidP="00012635">
            <w:pPr>
              <w:pStyle w:val="ListParagraph"/>
              <w:numPr>
                <w:ilvl w:val="0"/>
                <w:numId w:val="53"/>
              </w:numPr>
              <w:ind w:left="330" w:hanging="270"/>
              <w:rPr>
                <w:rFonts w:cstheme="minorHAnsi"/>
              </w:rPr>
            </w:pPr>
            <w:r w:rsidRPr="00AE1B08">
              <w:rPr>
                <w:rFonts w:cstheme="minorHAnsi"/>
              </w:rPr>
              <w:t>introduce im</w:t>
            </w:r>
            <w:r w:rsidR="00576DB1" w:rsidRPr="00AE1B08">
              <w:rPr>
                <w:rFonts w:cstheme="minorHAnsi"/>
              </w:rPr>
              <w:t>portant foundational concepts in first year</w:t>
            </w:r>
            <w:r w:rsidRPr="00AE1B08">
              <w:rPr>
                <w:rFonts w:cstheme="minorHAnsi"/>
              </w:rPr>
              <w:t>; reinforce and develop concepts in subsequent years</w:t>
            </w:r>
          </w:p>
          <w:p w14:paraId="2C4E1954" w14:textId="77777777" w:rsidR="00576DB1" w:rsidRPr="00AE1B08" w:rsidRDefault="00576DB1" w:rsidP="00012635">
            <w:pPr>
              <w:contextualSpacing/>
              <w:rPr>
                <w:rFonts w:cstheme="minorHAnsi"/>
              </w:rPr>
            </w:pPr>
          </w:p>
          <w:p w14:paraId="3A5074D0" w14:textId="77777777" w:rsidR="00576DB1" w:rsidRPr="00AE1B08" w:rsidRDefault="00012635" w:rsidP="00012635">
            <w:pPr>
              <w:contextualSpacing/>
              <w:rPr>
                <w:rFonts w:cstheme="minorHAnsi"/>
              </w:rPr>
            </w:pPr>
            <w:r w:rsidRPr="00AE1B08">
              <w:rPr>
                <w:rFonts w:cstheme="minorHAnsi"/>
              </w:rPr>
              <w:t>Recommendation 4</w:t>
            </w:r>
          </w:p>
          <w:p w14:paraId="142BF246" w14:textId="604AB185" w:rsidR="00012635" w:rsidRPr="00AE1B08" w:rsidRDefault="0056102B" w:rsidP="00012635">
            <w:pPr>
              <w:pStyle w:val="ListParagraph"/>
              <w:numPr>
                <w:ilvl w:val="0"/>
                <w:numId w:val="53"/>
              </w:numPr>
              <w:ind w:left="330" w:hanging="270"/>
              <w:rPr>
                <w:rFonts w:cstheme="minorHAnsi"/>
              </w:rPr>
            </w:pPr>
            <w:r w:rsidRPr="00AE1B08">
              <w:rPr>
                <w:rFonts w:cstheme="minorHAnsi"/>
              </w:rPr>
              <w:t>In</w:t>
            </w:r>
            <w:r w:rsidR="00012635" w:rsidRPr="00AE1B08">
              <w:rPr>
                <w:rFonts w:cstheme="minorHAnsi"/>
              </w:rPr>
              <w:t xml:space="preserve"> 1</w:t>
            </w:r>
            <w:r w:rsidR="00012635" w:rsidRPr="00AE1B08">
              <w:rPr>
                <w:rFonts w:cstheme="minorHAnsi"/>
                <w:vertAlign w:val="superscript"/>
              </w:rPr>
              <w:t>st</w:t>
            </w:r>
            <w:r w:rsidR="00012635" w:rsidRPr="00AE1B08">
              <w:rPr>
                <w:rFonts w:cstheme="minorHAnsi"/>
              </w:rPr>
              <w:t xml:space="preserve"> year emphasize content on relational practice and communication; purposely and coherently integrate through both theory and clinical courses.</w:t>
            </w:r>
          </w:p>
          <w:p w14:paraId="51E5A34D" w14:textId="537F2394" w:rsidR="00012635" w:rsidRPr="00AE1B08" w:rsidRDefault="00012635" w:rsidP="00012635">
            <w:pPr>
              <w:rPr>
                <w:rFonts w:cstheme="minorHAnsi"/>
              </w:rPr>
            </w:pPr>
          </w:p>
          <w:p w14:paraId="4F84BE87" w14:textId="1E17987C" w:rsidR="00012635" w:rsidRPr="00AE1B08" w:rsidRDefault="00012635" w:rsidP="00012635">
            <w:pPr>
              <w:rPr>
                <w:rFonts w:cstheme="minorHAnsi"/>
              </w:rPr>
            </w:pPr>
            <w:r w:rsidRPr="00AE1B08">
              <w:rPr>
                <w:rFonts w:cstheme="minorHAnsi"/>
              </w:rPr>
              <w:t>Recommendation 5</w:t>
            </w:r>
          </w:p>
          <w:p w14:paraId="0A419030" w14:textId="7F6E5A79" w:rsidR="00012635" w:rsidRPr="00AE1B08" w:rsidRDefault="00012635" w:rsidP="00012635">
            <w:pPr>
              <w:pStyle w:val="ListParagraph"/>
              <w:numPr>
                <w:ilvl w:val="0"/>
                <w:numId w:val="53"/>
              </w:numPr>
              <w:ind w:left="330" w:hanging="270"/>
              <w:rPr>
                <w:rFonts w:cstheme="minorHAnsi"/>
              </w:rPr>
            </w:pPr>
            <w:r w:rsidRPr="00AE1B08">
              <w:rPr>
                <w:rFonts w:cstheme="minorHAnsi"/>
              </w:rPr>
              <w:t xml:space="preserve">consider stand alone </w:t>
            </w:r>
            <w:r w:rsidR="00877BFF" w:rsidRPr="00AE1B08">
              <w:rPr>
                <w:rFonts w:cstheme="minorHAnsi"/>
              </w:rPr>
              <w:t xml:space="preserve">patient </w:t>
            </w:r>
            <w:r w:rsidRPr="00AE1B08">
              <w:rPr>
                <w:rFonts w:cstheme="minorHAnsi"/>
              </w:rPr>
              <w:t>assessment course to provide students with opportunity to interact with faculty to learn fundamental assessment skills</w:t>
            </w:r>
          </w:p>
          <w:p w14:paraId="7C191F46" w14:textId="6178055E" w:rsidR="00012635" w:rsidRPr="00AE1B08" w:rsidRDefault="00012635" w:rsidP="00012635">
            <w:pPr>
              <w:rPr>
                <w:rFonts w:cstheme="minorHAnsi"/>
              </w:rPr>
            </w:pPr>
          </w:p>
          <w:p w14:paraId="50ADBAFC" w14:textId="666A7F16" w:rsidR="00012635" w:rsidRPr="00AE1B08" w:rsidRDefault="00012635" w:rsidP="00012635">
            <w:pPr>
              <w:rPr>
                <w:rFonts w:cstheme="minorHAnsi"/>
              </w:rPr>
            </w:pPr>
            <w:r w:rsidRPr="00AE1B08">
              <w:rPr>
                <w:rFonts w:cstheme="minorHAnsi"/>
              </w:rPr>
              <w:t>Recommendation 6</w:t>
            </w:r>
          </w:p>
          <w:p w14:paraId="067EB015" w14:textId="77777777" w:rsidR="00012635" w:rsidRPr="00AE1B08" w:rsidRDefault="00397B0F" w:rsidP="00397B0F">
            <w:pPr>
              <w:pStyle w:val="ListParagraph"/>
              <w:numPr>
                <w:ilvl w:val="0"/>
                <w:numId w:val="53"/>
              </w:numPr>
              <w:ind w:left="330" w:hanging="270"/>
              <w:rPr>
                <w:rFonts w:cstheme="minorHAnsi"/>
              </w:rPr>
            </w:pPr>
            <w:r w:rsidRPr="00AE1B08">
              <w:rPr>
                <w:rFonts w:cstheme="minorHAnsi"/>
              </w:rPr>
              <w:t>Consider offering a stand alone ethics course</w:t>
            </w:r>
          </w:p>
          <w:p w14:paraId="1D776E93" w14:textId="77777777" w:rsidR="00AE1B08" w:rsidRPr="00AE1B08" w:rsidRDefault="00AE1B08" w:rsidP="00397B0F">
            <w:pPr>
              <w:rPr>
                <w:rFonts w:cstheme="minorHAnsi"/>
              </w:rPr>
            </w:pPr>
          </w:p>
          <w:p w14:paraId="4F3DBCB8" w14:textId="77777777" w:rsidR="00AE1B08" w:rsidRDefault="00AE1B08" w:rsidP="00397B0F">
            <w:pPr>
              <w:rPr>
                <w:rFonts w:cstheme="minorHAnsi"/>
              </w:rPr>
            </w:pPr>
          </w:p>
          <w:p w14:paraId="30AC09A9" w14:textId="3D99C595" w:rsidR="00397B0F" w:rsidRPr="00AE1B08" w:rsidRDefault="00397B0F" w:rsidP="00397B0F">
            <w:pPr>
              <w:rPr>
                <w:rFonts w:cstheme="minorHAnsi"/>
              </w:rPr>
            </w:pPr>
            <w:r w:rsidRPr="00AE1B08">
              <w:rPr>
                <w:rFonts w:cstheme="minorHAnsi"/>
              </w:rPr>
              <w:lastRenderedPageBreak/>
              <w:t>Recommendation 8</w:t>
            </w:r>
          </w:p>
          <w:p w14:paraId="4995CB37" w14:textId="77777777" w:rsidR="00397B0F" w:rsidRPr="00AE1B08" w:rsidRDefault="00397B0F" w:rsidP="00397B0F">
            <w:pPr>
              <w:rPr>
                <w:rFonts w:cstheme="minorHAnsi"/>
              </w:rPr>
            </w:pPr>
            <w:r w:rsidRPr="00AE1B08">
              <w:rPr>
                <w:rFonts w:cstheme="minorHAnsi"/>
              </w:rPr>
              <w:t>in the interim while curriculum is being redeveloped</w:t>
            </w:r>
          </w:p>
          <w:p w14:paraId="3F776834" w14:textId="7CE8A5FE" w:rsidR="00397B0F" w:rsidRPr="00AE1B08" w:rsidRDefault="00397B0F" w:rsidP="004C3455">
            <w:pPr>
              <w:pStyle w:val="ListParagraph"/>
              <w:numPr>
                <w:ilvl w:val="1"/>
                <w:numId w:val="45"/>
              </w:numPr>
              <w:ind w:left="330" w:hanging="270"/>
              <w:rPr>
                <w:rFonts w:cstheme="minorHAnsi"/>
              </w:rPr>
            </w:pPr>
            <w:r w:rsidRPr="00AE1B08">
              <w:rPr>
                <w:rFonts w:cstheme="minorHAnsi"/>
              </w:rPr>
              <w:t>provide additional focused assessment content</w:t>
            </w:r>
          </w:p>
          <w:p w14:paraId="04350347" w14:textId="3ED5A43A" w:rsidR="00397B0F" w:rsidRPr="00AE1B08" w:rsidRDefault="00397B0F" w:rsidP="004C3455">
            <w:pPr>
              <w:pStyle w:val="ListParagraph"/>
              <w:numPr>
                <w:ilvl w:val="1"/>
                <w:numId w:val="45"/>
              </w:numPr>
              <w:ind w:left="330" w:hanging="270"/>
              <w:rPr>
                <w:rFonts w:cstheme="minorHAnsi"/>
              </w:rPr>
            </w:pPr>
            <w:r w:rsidRPr="00AE1B08">
              <w:rPr>
                <w:rFonts w:cstheme="minorHAnsi"/>
              </w:rPr>
              <w:t>engage students in more theoretical preparation in terms of both mental health and maternal/ child health</w:t>
            </w:r>
          </w:p>
          <w:p w14:paraId="250A28BA" w14:textId="0FFCA68F" w:rsidR="00397B0F" w:rsidRPr="00AE1B08" w:rsidRDefault="00397B0F" w:rsidP="00397B0F">
            <w:pPr>
              <w:rPr>
                <w:rFonts w:cstheme="minorHAnsi"/>
              </w:rPr>
            </w:pPr>
          </w:p>
          <w:p w14:paraId="6A8E6947" w14:textId="1EC3B154" w:rsidR="00397B0F" w:rsidRPr="00AE1B08" w:rsidRDefault="00397B0F" w:rsidP="00397B0F">
            <w:pPr>
              <w:rPr>
                <w:rFonts w:cstheme="minorHAnsi"/>
              </w:rPr>
            </w:pPr>
            <w:r w:rsidRPr="00AE1B08">
              <w:rPr>
                <w:rFonts w:cstheme="minorHAnsi"/>
              </w:rPr>
              <w:t>Recommendation 9</w:t>
            </w:r>
          </w:p>
          <w:p w14:paraId="6C0CCE05" w14:textId="77777777" w:rsidR="00397B0F" w:rsidRPr="00AE1B08" w:rsidRDefault="00513551" w:rsidP="004C3455">
            <w:pPr>
              <w:pStyle w:val="ListParagraph"/>
              <w:numPr>
                <w:ilvl w:val="0"/>
                <w:numId w:val="54"/>
              </w:numPr>
              <w:ind w:left="330" w:hanging="270"/>
              <w:rPr>
                <w:rFonts w:cstheme="minorHAnsi"/>
              </w:rPr>
            </w:pPr>
            <w:r w:rsidRPr="00AE1B08">
              <w:rPr>
                <w:rFonts w:cstheme="minorHAnsi"/>
              </w:rPr>
              <w:t>consider replacing elective courses with courses that provide more nursing-focused co</w:t>
            </w:r>
            <w:r w:rsidR="008B0DBC" w:rsidRPr="00AE1B08">
              <w:rPr>
                <w:rFonts w:cstheme="minorHAnsi"/>
              </w:rPr>
              <w:t>ntent, specifically reflecting the five areas of focus and new/important areas of focus in nursing</w:t>
            </w:r>
          </w:p>
          <w:p w14:paraId="26CA42FF" w14:textId="77777777" w:rsidR="008B0DBC" w:rsidRPr="00AE1B08" w:rsidRDefault="008B0DBC" w:rsidP="008B0DBC">
            <w:pPr>
              <w:rPr>
                <w:rFonts w:cstheme="minorHAnsi"/>
              </w:rPr>
            </w:pPr>
          </w:p>
          <w:p w14:paraId="574EE29A" w14:textId="77777777" w:rsidR="008B0DBC" w:rsidRPr="00AE1B08" w:rsidRDefault="008B0DBC" w:rsidP="008B0DBC">
            <w:pPr>
              <w:rPr>
                <w:rFonts w:cstheme="minorHAnsi"/>
              </w:rPr>
            </w:pPr>
            <w:r w:rsidRPr="00AE1B08">
              <w:rPr>
                <w:rFonts w:cstheme="minorHAnsi"/>
              </w:rPr>
              <w:t>Recommendation 10</w:t>
            </w:r>
          </w:p>
          <w:p w14:paraId="523274EA" w14:textId="39270F31" w:rsidR="008B0DBC" w:rsidRPr="00AE1B08" w:rsidRDefault="004C3455" w:rsidP="004C3455">
            <w:pPr>
              <w:pStyle w:val="ListParagraph"/>
              <w:numPr>
                <w:ilvl w:val="0"/>
                <w:numId w:val="54"/>
              </w:numPr>
              <w:ind w:left="330" w:hanging="270"/>
              <w:rPr>
                <w:rFonts w:cstheme="minorHAnsi"/>
              </w:rPr>
            </w:pPr>
            <w:r w:rsidRPr="00AE1B08">
              <w:rPr>
                <w:rFonts w:cstheme="minorHAnsi"/>
              </w:rPr>
              <w:t>Better</w:t>
            </w:r>
            <w:r w:rsidR="008B0DBC" w:rsidRPr="00AE1B08">
              <w:rPr>
                <w:rFonts w:cstheme="minorHAnsi"/>
              </w:rPr>
              <w:t xml:space="preserve"> integration of specific topics</w:t>
            </w:r>
            <w:r w:rsidRPr="00AE1B08">
              <w:rPr>
                <w:rFonts w:cstheme="minorHAnsi"/>
              </w:rPr>
              <w:t xml:space="preserve"> (cultural safety, cultural competence, interpersonal communication and conflict management) into curriculum throughout the degree. including</w:t>
            </w:r>
            <w:r w:rsidR="008B0DBC" w:rsidRPr="00AE1B08">
              <w:rPr>
                <w:rFonts w:cstheme="minorHAnsi"/>
              </w:rPr>
              <w:t xml:space="preserve"> </w:t>
            </w:r>
          </w:p>
          <w:p w14:paraId="44329A0D" w14:textId="586FC055" w:rsidR="004C3455" w:rsidRPr="00AE1B08" w:rsidRDefault="004C3455" w:rsidP="004C3455">
            <w:pPr>
              <w:pStyle w:val="ListParagraph"/>
              <w:rPr>
                <w:rFonts w:cstheme="minorHAnsi"/>
              </w:rPr>
            </w:pPr>
          </w:p>
        </w:tc>
        <w:tc>
          <w:tcPr>
            <w:tcW w:w="3330" w:type="dxa"/>
            <w:shd w:val="clear" w:color="auto" w:fill="auto"/>
          </w:tcPr>
          <w:p w14:paraId="1BCF9E10" w14:textId="77777777" w:rsidR="00AE1B08" w:rsidRPr="00504629" w:rsidRDefault="00AE1B08" w:rsidP="00012635">
            <w:pPr>
              <w:rPr>
                <w:rFonts w:eastAsia="Times New Roman" w:cstheme="minorHAnsi"/>
                <w:lang w:val="en-US"/>
              </w:rPr>
            </w:pPr>
          </w:p>
          <w:p w14:paraId="510ACBCB" w14:textId="4C45CFB6" w:rsidR="00C12614" w:rsidRPr="00504629" w:rsidRDefault="00DF2E05" w:rsidP="00012635">
            <w:pPr>
              <w:rPr>
                <w:rFonts w:eastAsia="Times New Roman" w:cstheme="minorHAnsi"/>
                <w:lang w:val="en-US"/>
              </w:rPr>
            </w:pPr>
            <w:r w:rsidRPr="00504629">
              <w:rPr>
                <w:rFonts w:eastAsia="Times New Roman" w:cstheme="minorHAnsi"/>
                <w:lang w:val="en-US"/>
              </w:rPr>
              <w:t>School to provide update.</w:t>
            </w:r>
          </w:p>
          <w:p w14:paraId="6795C401" w14:textId="2758AE6F" w:rsidR="00AE1B08" w:rsidRPr="00504629" w:rsidRDefault="00AE1B08" w:rsidP="00012635">
            <w:pPr>
              <w:rPr>
                <w:rFonts w:eastAsia="Times New Roman" w:cstheme="minorHAnsi"/>
                <w:lang w:val="en-US"/>
              </w:rPr>
            </w:pPr>
          </w:p>
          <w:p w14:paraId="10288EE0" w14:textId="5882E5EF" w:rsidR="00AE1B08" w:rsidRPr="00504629" w:rsidRDefault="00AE1B08" w:rsidP="00012635">
            <w:pPr>
              <w:rPr>
                <w:rFonts w:eastAsia="Times New Roman" w:cstheme="minorHAnsi"/>
                <w:lang w:val="en-US"/>
              </w:rPr>
            </w:pPr>
          </w:p>
          <w:p w14:paraId="30BBF97C" w14:textId="7C3E3D6E" w:rsidR="00AE1B08" w:rsidRPr="00504629" w:rsidRDefault="00AE1B08" w:rsidP="00012635">
            <w:pPr>
              <w:rPr>
                <w:rFonts w:eastAsia="Times New Roman" w:cstheme="minorHAnsi"/>
                <w:lang w:val="en-US"/>
              </w:rPr>
            </w:pPr>
          </w:p>
          <w:p w14:paraId="7AC7A4DC" w14:textId="452AA5E2" w:rsidR="00AE1B08" w:rsidRPr="00504629" w:rsidRDefault="00AE1B08" w:rsidP="00012635">
            <w:pPr>
              <w:rPr>
                <w:rFonts w:eastAsia="Times New Roman" w:cstheme="minorHAnsi"/>
                <w:lang w:val="en-US"/>
              </w:rPr>
            </w:pPr>
          </w:p>
          <w:p w14:paraId="102AAC3E" w14:textId="046BE104" w:rsidR="00AE1B08" w:rsidRPr="00504629" w:rsidRDefault="00AE1B08" w:rsidP="00012635">
            <w:pPr>
              <w:rPr>
                <w:rFonts w:eastAsia="Times New Roman" w:cstheme="minorHAnsi"/>
                <w:lang w:val="en-US"/>
              </w:rPr>
            </w:pPr>
          </w:p>
          <w:p w14:paraId="39A4189E" w14:textId="4E05C9E9" w:rsidR="00AE1B08" w:rsidRPr="00504629" w:rsidRDefault="00AE1B08" w:rsidP="00012635">
            <w:pPr>
              <w:rPr>
                <w:rFonts w:eastAsia="Times New Roman" w:cstheme="minorHAnsi"/>
                <w:lang w:val="en-US"/>
              </w:rPr>
            </w:pPr>
          </w:p>
          <w:p w14:paraId="4F1FC4B0" w14:textId="19A88B7D" w:rsidR="00AE1B08" w:rsidRPr="00504629" w:rsidRDefault="00AE1B08" w:rsidP="00012635">
            <w:pPr>
              <w:rPr>
                <w:rFonts w:eastAsia="Times New Roman" w:cstheme="minorHAnsi"/>
                <w:lang w:val="en-US"/>
              </w:rPr>
            </w:pPr>
          </w:p>
          <w:p w14:paraId="71FC0D0E" w14:textId="1F85B125" w:rsidR="00AE1B08" w:rsidRPr="00504629" w:rsidRDefault="00AE1B08" w:rsidP="00012635">
            <w:pPr>
              <w:rPr>
                <w:rFonts w:eastAsia="Times New Roman" w:cstheme="minorHAnsi"/>
                <w:lang w:val="en-US"/>
              </w:rPr>
            </w:pPr>
          </w:p>
          <w:p w14:paraId="66E9A59E" w14:textId="61CC6558" w:rsidR="00AE1B08" w:rsidRPr="00504629" w:rsidRDefault="00AE1B08" w:rsidP="00012635">
            <w:pPr>
              <w:rPr>
                <w:rFonts w:eastAsia="Times New Roman" w:cstheme="minorHAnsi"/>
                <w:lang w:val="en-US"/>
              </w:rPr>
            </w:pPr>
          </w:p>
          <w:p w14:paraId="7958BEC7" w14:textId="7D09799C" w:rsidR="00AE1B08" w:rsidRPr="00504629" w:rsidRDefault="00AE1B08" w:rsidP="00012635">
            <w:pPr>
              <w:rPr>
                <w:rFonts w:eastAsia="Times New Roman" w:cstheme="minorHAnsi"/>
                <w:lang w:val="en-US"/>
              </w:rPr>
            </w:pPr>
          </w:p>
          <w:p w14:paraId="6F8B557F" w14:textId="5F6DA331" w:rsidR="00AE1B08" w:rsidRPr="00504629" w:rsidRDefault="00AE1B08" w:rsidP="00012635">
            <w:pPr>
              <w:rPr>
                <w:rFonts w:eastAsia="Times New Roman" w:cstheme="minorHAnsi"/>
                <w:lang w:val="en-US"/>
              </w:rPr>
            </w:pPr>
          </w:p>
          <w:p w14:paraId="0C1A669F" w14:textId="77777777" w:rsidR="00AE1B08" w:rsidRPr="00504629" w:rsidRDefault="00AE1B08" w:rsidP="00012635">
            <w:pPr>
              <w:rPr>
                <w:rFonts w:eastAsia="Times New Roman" w:cstheme="minorHAnsi"/>
                <w:lang w:val="en-US"/>
              </w:rPr>
            </w:pPr>
          </w:p>
          <w:p w14:paraId="020A4DDA" w14:textId="77777777" w:rsidR="00504629" w:rsidRPr="00504629" w:rsidRDefault="00504629" w:rsidP="00012635">
            <w:pPr>
              <w:rPr>
                <w:rFonts w:eastAsia="Times New Roman" w:cstheme="minorHAnsi"/>
                <w:lang w:val="en-US"/>
              </w:rPr>
            </w:pPr>
          </w:p>
          <w:p w14:paraId="21D065CB" w14:textId="77777777" w:rsidR="00504629" w:rsidRPr="00504629" w:rsidRDefault="00504629" w:rsidP="00012635">
            <w:pPr>
              <w:rPr>
                <w:rFonts w:eastAsia="Times New Roman" w:cstheme="minorHAnsi"/>
                <w:lang w:val="en-US"/>
              </w:rPr>
            </w:pPr>
          </w:p>
          <w:p w14:paraId="6DBDA6E2" w14:textId="77777777" w:rsidR="00504629" w:rsidRPr="00504629" w:rsidRDefault="00504629" w:rsidP="00012635">
            <w:pPr>
              <w:rPr>
                <w:rFonts w:eastAsia="Times New Roman" w:cstheme="minorHAnsi"/>
                <w:lang w:val="en-US"/>
              </w:rPr>
            </w:pPr>
          </w:p>
          <w:p w14:paraId="243E1673" w14:textId="77777777" w:rsidR="00504629" w:rsidRPr="00504629" w:rsidRDefault="00504629" w:rsidP="00012635">
            <w:pPr>
              <w:rPr>
                <w:rFonts w:eastAsia="Times New Roman" w:cstheme="minorHAnsi"/>
                <w:lang w:val="en-US"/>
              </w:rPr>
            </w:pPr>
          </w:p>
          <w:p w14:paraId="0CFECF8F" w14:textId="5BE94FD0" w:rsidR="00012635" w:rsidRPr="00504629" w:rsidRDefault="00012635" w:rsidP="00012635">
            <w:pPr>
              <w:rPr>
                <w:rFonts w:eastAsia="Times New Roman" w:cstheme="minorHAnsi"/>
                <w:lang w:val="en-US"/>
              </w:rPr>
            </w:pPr>
            <w:r w:rsidRPr="00504629">
              <w:rPr>
                <w:rFonts w:eastAsia="Times New Roman" w:cstheme="minorHAnsi"/>
                <w:lang w:val="en-US"/>
              </w:rPr>
              <w:t>No follow-up is required. The School implemented this in Fall 2019.</w:t>
            </w:r>
          </w:p>
          <w:p w14:paraId="5343B4DD" w14:textId="77777777" w:rsidR="00397B0F" w:rsidRPr="00504629" w:rsidRDefault="00397B0F" w:rsidP="00012635">
            <w:pPr>
              <w:rPr>
                <w:rFonts w:eastAsia="Times New Roman" w:cstheme="minorHAnsi"/>
                <w:lang w:val="en-US"/>
              </w:rPr>
            </w:pPr>
          </w:p>
          <w:p w14:paraId="6FAFA5C8" w14:textId="77777777" w:rsidR="00397B0F" w:rsidRPr="00504629" w:rsidRDefault="00397B0F" w:rsidP="00012635">
            <w:pPr>
              <w:rPr>
                <w:rFonts w:eastAsia="Times New Roman" w:cstheme="minorHAnsi"/>
                <w:lang w:val="en-US"/>
              </w:rPr>
            </w:pPr>
          </w:p>
          <w:p w14:paraId="6C5FAF96" w14:textId="77777777" w:rsidR="00397B0F" w:rsidRPr="00504629" w:rsidRDefault="00397B0F" w:rsidP="00012635">
            <w:pPr>
              <w:rPr>
                <w:rFonts w:eastAsia="Times New Roman" w:cstheme="minorHAnsi"/>
                <w:lang w:val="en-US"/>
              </w:rPr>
            </w:pPr>
          </w:p>
          <w:p w14:paraId="7D40504E" w14:textId="77777777" w:rsidR="00397B0F" w:rsidRPr="00504629" w:rsidRDefault="00397B0F" w:rsidP="00012635">
            <w:pPr>
              <w:rPr>
                <w:rFonts w:eastAsia="Times New Roman" w:cstheme="minorHAnsi"/>
                <w:lang w:val="en-US"/>
              </w:rPr>
            </w:pPr>
          </w:p>
          <w:p w14:paraId="5334EA5F" w14:textId="77777777" w:rsidR="00397B0F" w:rsidRPr="00504629" w:rsidRDefault="00397B0F" w:rsidP="00012635">
            <w:pPr>
              <w:rPr>
                <w:rFonts w:eastAsia="Times New Roman" w:cstheme="minorHAnsi"/>
                <w:lang w:val="en-US"/>
              </w:rPr>
            </w:pPr>
          </w:p>
          <w:p w14:paraId="44F45DC8" w14:textId="77777777" w:rsidR="00397B0F" w:rsidRPr="00504629" w:rsidRDefault="00397B0F" w:rsidP="00012635">
            <w:pPr>
              <w:rPr>
                <w:rFonts w:eastAsia="Times New Roman" w:cstheme="minorHAnsi"/>
                <w:lang w:val="en-US"/>
              </w:rPr>
            </w:pPr>
          </w:p>
          <w:p w14:paraId="7FD0F5A7" w14:textId="77777777" w:rsidR="00397B0F" w:rsidRPr="00504629" w:rsidRDefault="00397B0F" w:rsidP="00012635">
            <w:pPr>
              <w:rPr>
                <w:rFonts w:eastAsia="Times New Roman" w:cstheme="minorHAnsi"/>
                <w:lang w:val="en-US"/>
              </w:rPr>
            </w:pPr>
          </w:p>
          <w:p w14:paraId="43348EC4" w14:textId="77777777" w:rsidR="00AE1B08" w:rsidRPr="00504629" w:rsidRDefault="00AE1B08" w:rsidP="00012635">
            <w:pPr>
              <w:rPr>
                <w:rFonts w:eastAsia="Times New Roman" w:cstheme="minorHAnsi"/>
                <w:lang w:val="en-US"/>
              </w:rPr>
            </w:pPr>
          </w:p>
          <w:p w14:paraId="6A1685EB" w14:textId="77777777" w:rsidR="00504629" w:rsidRPr="00504629" w:rsidRDefault="00504629" w:rsidP="00012635">
            <w:pPr>
              <w:rPr>
                <w:rFonts w:eastAsia="Times New Roman" w:cstheme="minorHAnsi"/>
                <w:lang w:val="en-US"/>
              </w:rPr>
            </w:pPr>
          </w:p>
          <w:p w14:paraId="753D30A2" w14:textId="77777777" w:rsidR="00504629" w:rsidRPr="00504629" w:rsidRDefault="00504629" w:rsidP="00012635">
            <w:pPr>
              <w:rPr>
                <w:rFonts w:eastAsia="Times New Roman" w:cstheme="minorHAnsi"/>
                <w:lang w:val="en-US"/>
              </w:rPr>
            </w:pPr>
          </w:p>
          <w:p w14:paraId="5A79ED24" w14:textId="77777777" w:rsidR="00504629" w:rsidRPr="00504629" w:rsidRDefault="00504629" w:rsidP="00012635">
            <w:pPr>
              <w:rPr>
                <w:rFonts w:eastAsia="Times New Roman" w:cstheme="minorHAnsi"/>
                <w:lang w:val="en-US"/>
              </w:rPr>
            </w:pPr>
          </w:p>
          <w:p w14:paraId="55217AB1" w14:textId="656478C4" w:rsidR="00397B0F" w:rsidRPr="00504629" w:rsidRDefault="00397B0F" w:rsidP="00012635">
            <w:pPr>
              <w:rPr>
                <w:rFonts w:eastAsia="Times New Roman" w:cstheme="minorHAnsi"/>
                <w:lang w:val="en-US"/>
              </w:rPr>
            </w:pPr>
            <w:r w:rsidRPr="00504629">
              <w:rPr>
                <w:rFonts w:eastAsia="Times New Roman" w:cstheme="minorHAnsi"/>
                <w:lang w:val="en-US"/>
              </w:rPr>
              <w:t>No follow-up is required. The School has implemented this recommendation.</w:t>
            </w:r>
          </w:p>
          <w:p w14:paraId="6315ABBA" w14:textId="6A875D5E" w:rsidR="004C3455" w:rsidRPr="00504629" w:rsidRDefault="004C3455" w:rsidP="00012635">
            <w:pPr>
              <w:rPr>
                <w:rFonts w:eastAsia="Times New Roman" w:cstheme="minorHAnsi"/>
                <w:lang w:val="en-US"/>
              </w:rPr>
            </w:pPr>
          </w:p>
          <w:p w14:paraId="6615DDA0" w14:textId="6F357419" w:rsidR="004C3455" w:rsidRPr="00504629" w:rsidRDefault="004C3455" w:rsidP="00012635">
            <w:pPr>
              <w:rPr>
                <w:rFonts w:eastAsia="Times New Roman" w:cstheme="minorHAnsi"/>
                <w:lang w:val="en-US"/>
              </w:rPr>
            </w:pPr>
          </w:p>
          <w:p w14:paraId="70B3D9EA" w14:textId="016E892A" w:rsidR="004C3455" w:rsidRPr="00504629" w:rsidRDefault="004C3455" w:rsidP="00012635">
            <w:pPr>
              <w:rPr>
                <w:rFonts w:eastAsia="Times New Roman" w:cstheme="minorHAnsi"/>
                <w:lang w:val="en-US"/>
              </w:rPr>
            </w:pPr>
          </w:p>
          <w:p w14:paraId="0890D293" w14:textId="13F6125A" w:rsidR="004C3455" w:rsidRPr="00504629" w:rsidRDefault="004C3455" w:rsidP="00012635">
            <w:pPr>
              <w:rPr>
                <w:rFonts w:eastAsia="Times New Roman" w:cstheme="minorHAnsi"/>
                <w:lang w:val="en-US"/>
              </w:rPr>
            </w:pPr>
          </w:p>
          <w:p w14:paraId="622AB0BA" w14:textId="1010B127" w:rsidR="004C3455" w:rsidRPr="00504629" w:rsidRDefault="004C3455" w:rsidP="00012635">
            <w:pPr>
              <w:rPr>
                <w:rFonts w:eastAsia="Times New Roman" w:cstheme="minorHAnsi"/>
                <w:lang w:val="en-US"/>
              </w:rPr>
            </w:pPr>
          </w:p>
          <w:p w14:paraId="6B68DB6A" w14:textId="20354801" w:rsidR="004C3455" w:rsidRPr="00504629" w:rsidRDefault="004C3455" w:rsidP="00012635">
            <w:pPr>
              <w:rPr>
                <w:rFonts w:eastAsia="Times New Roman" w:cstheme="minorHAnsi"/>
                <w:lang w:val="en-US"/>
              </w:rPr>
            </w:pPr>
          </w:p>
          <w:p w14:paraId="371822A9" w14:textId="1A9391F6" w:rsidR="004C3455" w:rsidRPr="00504629" w:rsidRDefault="004C3455" w:rsidP="00012635">
            <w:pPr>
              <w:rPr>
                <w:rFonts w:eastAsia="Times New Roman" w:cstheme="minorHAnsi"/>
                <w:lang w:val="en-US"/>
              </w:rPr>
            </w:pPr>
          </w:p>
          <w:p w14:paraId="2A535AEB" w14:textId="4EBCA9E5" w:rsidR="004C3455" w:rsidRPr="00504629" w:rsidRDefault="004C3455" w:rsidP="00012635">
            <w:pPr>
              <w:rPr>
                <w:rFonts w:eastAsia="Times New Roman" w:cstheme="minorHAnsi"/>
                <w:lang w:val="en-US"/>
              </w:rPr>
            </w:pPr>
          </w:p>
          <w:p w14:paraId="36CE9BCC" w14:textId="3C59D26C" w:rsidR="004C3455" w:rsidRPr="00504629" w:rsidRDefault="004C3455" w:rsidP="00012635">
            <w:pPr>
              <w:rPr>
                <w:rFonts w:eastAsia="Times New Roman" w:cstheme="minorHAnsi"/>
                <w:lang w:val="en-US"/>
              </w:rPr>
            </w:pPr>
          </w:p>
          <w:p w14:paraId="5CEA5086" w14:textId="7D7E913A" w:rsidR="004C3455" w:rsidRPr="00504629" w:rsidRDefault="004C3455" w:rsidP="00012635">
            <w:pPr>
              <w:rPr>
                <w:rFonts w:eastAsia="Times New Roman" w:cstheme="minorHAnsi"/>
                <w:lang w:val="en-US"/>
              </w:rPr>
            </w:pPr>
          </w:p>
          <w:p w14:paraId="7B965115" w14:textId="5E1EB21C" w:rsidR="004C3455" w:rsidRPr="00504629" w:rsidRDefault="004C3455" w:rsidP="00012635">
            <w:pPr>
              <w:rPr>
                <w:rFonts w:eastAsia="Times New Roman" w:cstheme="minorHAnsi"/>
                <w:lang w:val="en-US"/>
              </w:rPr>
            </w:pPr>
            <w:r w:rsidRPr="00504629">
              <w:rPr>
                <w:rFonts w:eastAsia="Times New Roman" w:cstheme="minorHAnsi"/>
                <w:lang w:val="en-US"/>
              </w:rPr>
              <w:t>No follow up is required. The School has implemented this recommendation.</w:t>
            </w:r>
          </w:p>
          <w:p w14:paraId="4181D825" w14:textId="77777777" w:rsidR="004C3455" w:rsidRPr="00504629" w:rsidRDefault="004C3455" w:rsidP="00012635">
            <w:pPr>
              <w:rPr>
                <w:rFonts w:eastAsia="Times New Roman" w:cstheme="minorHAnsi"/>
                <w:lang w:val="en-US"/>
              </w:rPr>
            </w:pPr>
          </w:p>
          <w:p w14:paraId="235BB7AE" w14:textId="77777777" w:rsidR="00397B0F" w:rsidRPr="00504629" w:rsidRDefault="00397B0F" w:rsidP="00012635">
            <w:pPr>
              <w:rPr>
                <w:rFonts w:eastAsia="Times New Roman" w:cstheme="minorHAnsi"/>
                <w:lang w:val="en-US"/>
              </w:rPr>
            </w:pPr>
          </w:p>
          <w:p w14:paraId="644CC12F" w14:textId="790A834A" w:rsidR="00397B0F" w:rsidRPr="00504629" w:rsidRDefault="00397B0F" w:rsidP="00012635">
            <w:pPr>
              <w:rPr>
                <w:rFonts w:eastAsia="Times New Roman" w:cstheme="minorHAnsi"/>
                <w:lang w:val="en-US"/>
              </w:rPr>
            </w:pPr>
          </w:p>
        </w:tc>
        <w:tc>
          <w:tcPr>
            <w:tcW w:w="1440" w:type="dxa"/>
            <w:shd w:val="clear" w:color="auto" w:fill="auto"/>
          </w:tcPr>
          <w:p w14:paraId="09C1F0D9" w14:textId="77777777" w:rsidR="00AE1B08" w:rsidRPr="00AE1B08" w:rsidRDefault="00AE1B08" w:rsidP="00012635">
            <w:pPr>
              <w:rPr>
                <w:rFonts w:eastAsia="Times New Roman" w:cstheme="minorHAnsi"/>
                <w:lang w:val="en-US"/>
              </w:rPr>
            </w:pPr>
          </w:p>
          <w:p w14:paraId="6F9C0775" w14:textId="55D93B3A" w:rsidR="00C12614" w:rsidRPr="00AE1B08" w:rsidRDefault="00DF2E05" w:rsidP="00012635">
            <w:pPr>
              <w:rPr>
                <w:rFonts w:eastAsia="Times New Roman" w:cstheme="minorHAnsi"/>
                <w:lang w:val="en-US"/>
              </w:rPr>
            </w:pPr>
            <w:r w:rsidRPr="00AE1B08">
              <w:rPr>
                <w:rFonts w:eastAsia="Times New Roman" w:cstheme="minorHAnsi"/>
                <w:lang w:val="en-US"/>
              </w:rPr>
              <w:t>Dean</w:t>
            </w:r>
          </w:p>
        </w:tc>
      </w:tr>
      <w:tr w:rsidR="00DF2E05" w:rsidRPr="00AE1B08" w14:paraId="73DCF212" w14:textId="77777777" w:rsidTr="00AE1B08">
        <w:tc>
          <w:tcPr>
            <w:tcW w:w="5215" w:type="dxa"/>
            <w:shd w:val="clear" w:color="auto" w:fill="auto"/>
          </w:tcPr>
          <w:p w14:paraId="01EAAE74" w14:textId="646850F2" w:rsidR="00012635" w:rsidRPr="00AE1B08" w:rsidRDefault="00397B0F" w:rsidP="00012635">
            <w:pPr>
              <w:contextualSpacing/>
              <w:rPr>
                <w:rFonts w:cstheme="minorHAnsi"/>
              </w:rPr>
            </w:pPr>
            <w:r w:rsidRPr="00AE1B08">
              <w:rPr>
                <w:rFonts w:cstheme="minorHAnsi"/>
              </w:rPr>
              <w:t>Recommendation 7</w:t>
            </w:r>
          </w:p>
          <w:p w14:paraId="5FE683B9" w14:textId="77777777" w:rsidR="00DF2E05" w:rsidRPr="00AE1B08" w:rsidRDefault="00DF2E05" w:rsidP="00012635">
            <w:pPr>
              <w:contextualSpacing/>
              <w:rPr>
                <w:rFonts w:cstheme="minorHAnsi"/>
              </w:rPr>
            </w:pPr>
            <w:r w:rsidRPr="00AE1B08">
              <w:rPr>
                <w:rFonts w:cstheme="minorHAnsi"/>
              </w:rPr>
              <w:t xml:space="preserve">That the School continue to build opportunities to attract new faculty to the program, as well as ensuring adequate space for current (and future) faculty and staff to practice and engage with students, in offices, meeting space and laboratory space. </w:t>
            </w:r>
          </w:p>
          <w:p w14:paraId="79A8AD48" w14:textId="74C25FEA" w:rsidR="0098151C" w:rsidRPr="00AE1B08" w:rsidRDefault="0098151C" w:rsidP="00012635">
            <w:pPr>
              <w:contextualSpacing/>
              <w:rPr>
                <w:rFonts w:cstheme="minorHAnsi"/>
              </w:rPr>
            </w:pPr>
          </w:p>
        </w:tc>
        <w:tc>
          <w:tcPr>
            <w:tcW w:w="3330" w:type="dxa"/>
            <w:shd w:val="clear" w:color="auto" w:fill="auto"/>
          </w:tcPr>
          <w:p w14:paraId="3A718A25" w14:textId="77777777" w:rsidR="004F4144" w:rsidRPr="00AE1B08" w:rsidRDefault="004F4144" w:rsidP="00012635">
            <w:pPr>
              <w:contextualSpacing/>
              <w:rPr>
                <w:rFonts w:cstheme="minorHAnsi"/>
              </w:rPr>
            </w:pPr>
            <w:r w:rsidRPr="00AE1B08">
              <w:rPr>
                <w:rFonts w:cstheme="minorHAnsi"/>
              </w:rPr>
              <w:t>No follow up required.</w:t>
            </w:r>
          </w:p>
          <w:p w14:paraId="570CA767" w14:textId="618C6A80" w:rsidR="00DF2E05" w:rsidRPr="00AE1B08" w:rsidRDefault="004F4144" w:rsidP="00AE1B08">
            <w:pPr>
              <w:rPr>
                <w:rFonts w:cstheme="minorHAnsi"/>
              </w:rPr>
            </w:pPr>
            <w:r w:rsidRPr="00AE1B08">
              <w:rPr>
                <w:rFonts w:cstheme="minorHAnsi"/>
              </w:rPr>
              <w:t>This is a resource issue and is part of annual staffing plan discussions under the purview of the Dean.</w:t>
            </w:r>
          </w:p>
        </w:tc>
        <w:tc>
          <w:tcPr>
            <w:tcW w:w="1440" w:type="dxa"/>
            <w:shd w:val="clear" w:color="auto" w:fill="auto"/>
          </w:tcPr>
          <w:p w14:paraId="1B7F0B30" w14:textId="77777777" w:rsidR="00DF2E05" w:rsidRPr="00AE1B08" w:rsidRDefault="00DF2E05" w:rsidP="00012635">
            <w:pPr>
              <w:rPr>
                <w:rFonts w:cstheme="minorHAnsi"/>
              </w:rPr>
            </w:pPr>
          </w:p>
        </w:tc>
      </w:tr>
      <w:tr w:rsidR="00DF2E05" w:rsidRPr="00AE1B08" w14:paraId="1AF49F2C" w14:textId="77777777" w:rsidTr="00AE1B08">
        <w:tc>
          <w:tcPr>
            <w:tcW w:w="5215" w:type="dxa"/>
            <w:shd w:val="clear" w:color="auto" w:fill="auto"/>
          </w:tcPr>
          <w:p w14:paraId="131D0FAA" w14:textId="1A5D0E21" w:rsidR="004C3455" w:rsidRPr="00AE1B08" w:rsidRDefault="004C3455" w:rsidP="004C3455">
            <w:pPr>
              <w:contextualSpacing/>
              <w:rPr>
                <w:rFonts w:cstheme="minorHAnsi"/>
              </w:rPr>
            </w:pPr>
            <w:r w:rsidRPr="00AE1B08">
              <w:rPr>
                <w:rFonts w:cstheme="minorHAnsi"/>
              </w:rPr>
              <w:t>Recommendation 11</w:t>
            </w:r>
          </w:p>
          <w:p w14:paraId="4AEF4560" w14:textId="77777777" w:rsidR="00DF2E05" w:rsidRPr="00AE1B08" w:rsidRDefault="00DF2E05" w:rsidP="004C3455">
            <w:pPr>
              <w:contextualSpacing/>
              <w:rPr>
                <w:rFonts w:cstheme="minorHAnsi"/>
              </w:rPr>
            </w:pPr>
            <w:r w:rsidRPr="00AE1B08">
              <w:rPr>
                <w:rFonts w:cstheme="minorHAnsi"/>
              </w:rPr>
              <w:t xml:space="preserve">That the School consider changing the system by which the NARS (Non-Academic Requirements) are collected and records kept. </w:t>
            </w:r>
          </w:p>
          <w:p w14:paraId="750CEC30" w14:textId="319C0EC4" w:rsidR="0098151C" w:rsidRPr="00AE1B08" w:rsidRDefault="0098151C" w:rsidP="004C3455">
            <w:pPr>
              <w:contextualSpacing/>
              <w:rPr>
                <w:rFonts w:cstheme="minorHAnsi"/>
              </w:rPr>
            </w:pPr>
          </w:p>
        </w:tc>
        <w:tc>
          <w:tcPr>
            <w:tcW w:w="3330" w:type="dxa"/>
            <w:shd w:val="clear" w:color="auto" w:fill="auto"/>
          </w:tcPr>
          <w:p w14:paraId="6EC8BE69" w14:textId="77777777" w:rsidR="004F4144" w:rsidRPr="00AE1B08" w:rsidRDefault="004F4144" w:rsidP="00012635">
            <w:pPr>
              <w:rPr>
                <w:rFonts w:eastAsia="Times New Roman" w:cstheme="minorHAnsi"/>
                <w:lang w:val="en-US"/>
              </w:rPr>
            </w:pPr>
            <w:r w:rsidRPr="00AE1B08">
              <w:rPr>
                <w:rFonts w:eastAsia="Times New Roman" w:cstheme="minorHAnsi"/>
                <w:lang w:val="en-US"/>
              </w:rPr>
              <w:t xml:space="preserve">No follow-up is required. </w:t>
            </w:r>
          </w:p>
          <w:p w14:paraId="0BCDDB49" w14:textId="07BD8D9E" w:rsidR="00DF2E05" w:rsidRPr="00AE1B08" w:rsidRDefault="004F4144" w:rsidP="00012635">
            <w:pPr>
              <w:rPr>
                <w:rFonts w:eastAsia="Times New Roman" w:cstheme="minorHAnsi"/>
                <w:lang w:val="en-US"/>
              </w:rPr>
            </w:pPr>
            <w:r w:rsidRPr="00AE1B08">
              <w:rPr>
                <w:rFonts w:eastAsia="Times New Roman" w:cstheme="minorHAnsi"/>
                <w:lang w:val="en-US"/>
              </w:rPr>
              <w:t>The School has implemented this recommendation.</w:t>
            </w:r>
          </w:p>
        </w:tc>
        <w:tc>
          <w:tcPr>
            <w:tcW w:w="1440" w:type="dxa"/>
            <w:shd w:val="clear" w:color="auto" w:fill="auto"/>
          </w:tcPr>
          <w:p w14:paraId="73623E15" w14:textId="77777777" w:rsidR="00DF2E05" w:rsidRPr="00AE1B08" w:rsidRDefault="00DF2E05" w:rsidP="00012635">
            <w:pPr>
              <w:rPr>
                <w:rFonts w:eastAsia="Times New Roman" w:cstheme="minorHAnsi"/>
                <w:lang w:val="en-US"/>
              </w:rPr>
            </w:pPr>
          </w:p>
        </w:tc>
      </w:tr>
      <w:tr w:rsidR="00DF2E05" w:rsidRPr="00AE1B08" w14:paraId="16C1BDA4" w14:textId="77777777" w:rsidTr="00AE1B08">
        <w:tc>
          <w:tcPr>
            <w:tcW w:w="5215" w:type="dxa"/>
            <w:shd w:val="clear" w:color="auto" w:fill="auto"/>
          </w:tcPr>
          <w:p w14:paraId="2EEAAC2F" w14:textId="3C6EC26C" w:rsidR="0098151C" w:rsidRPr="00AE1B08" w:rsidRDefault="0098151C" w:rsidP="0098151C">
            <w:pPr>
              <w:contextualSpacing/>
              <w:rPr>
                <w:rFonts w:cstheme="minorHAnsi"/>
              </w:rPr>
            </w:pPr>
            <w:r w:rsidRPr="00AE1B08">
              <w:rPr>
                <w:rFonts w:cstheme="minorHAnsi"/>
              </w:rPr>
              <w:t>Recommendation 12</w:t>
            </w:r>
          </w:p>
          <w:p w14:paraId="5CE63CF1" w14:textId="77777777" w:rsidR="00DF2E05" w:rsidRPr="00AE1B08" w:rsidRDefault="00DF2E05" w:rsidP="0098151C">
            <w:pPr>
              <w:contextualSpacing/>
              <w:rPr>
                <w:rFonts w:cstheme="minorHAnsi"/>
              </w:rPr>
            </w:pPr>
            <w:r w:rsidRPr="00AE1B08">
              <w:rPr>
                <w:rFonts w:cstheme="minorHAnsi"/>
              </w:rPr>
              <w:t>That the second year community placements be assessed, on an ongoing basis, for level of quality in terms of being able to provide experiences for students to meet course learning outcomes.</w:t>
            </w:r>
          </w:p>
          <w:p w14:paraId="358B120F" w14:textId="0F94DCC5" w:rsidR="0098151C" w:rsidRPr="00AE1B08" w:rsidRDefault="0098151C" w:rsidP="0098151C">
            <w:pPr>
              <w:contextualSpacing/>
              <w:rPr>
                <w:rFonts w:cstheme="minorHAnsi"/>
              </w:rPr>
            </w:pPr>
          </w:p>
        </w:tc>
        <w:tc>
          <w:tcPr>
            <w:tcW w:w="3330" w:type="dxa"/>
            <w:shd w:val="clear" w:color="auto" w:fill="auto"/>
          </w:tcPr>
          <w:p w14:paraId="1D1BF7A9" w14:textId="51F6B337" w:rsidR="003F73B5" w:rsidRPr="00AE1B08" w:rsidRDefault="003F73B5">
            <w:pPr>
              <w:rPr>
                <w:rFonts w:eastAsia="Times New Roman" w:cstheme="minorHAnsi"/>
                <w:lang w:val="en-US"/>
              </w:rPr>
            </w:pPr>
            <w:r w:rsidRPr="00AE1B08">
              <w:rPr>
                <w:rFonts w:eastAsia="Times New Roman" w:cstheme="minorHAnsi"/>
                <w:lang w:val="en-US"/>
              </w:rPr>
              <w:t>School to provide update</w:t>
            </w:r>
            <w:r w:rsidR="00AE1B08">
              <w:rPr>
                <w:rFonts w:eastAsia="Times New Roman" w:cstheme="minorHAnsi"/>
                <w:lang w:val="en-US"/>
              </w:rPr>
              <w:t>.</w:t>
            </w:r>
          </w:p>
          <w:p w14:paraId="33409055" w14:textId="77777777" w:rsidR="00DF2E05" w:rsidRPr="00AE1B08" w:rsidRDefault="00DF2E05">
            <w:pPr>
              <w:rPr>
                <w:rFonts w:eastAsia="Times New Roman" w:cstheme="minorHAnsi"/>
                <w:lang w:val="en-US"/>
              </w:rPr>
            </w:pPr>
          </w:p>
        </w:tc>
        <w:tc>
          <w:tcPr>
            <w:tcW w:w="1440" w:type="dxa"/>
            <w:shd w:val="clear" w:color="auto" w:fill="auto"/>
          </w:tcPr>
          <w:p w14:paraId="4EEDE046" w14:textId="07B4B816" w:rsidR="00DF2E05" w:rsidRPr="00AE1B08" w:rsidRDefault="007817E3" w:rsidP="00012635">
            <w:pPr>
              <w:rPr>
                <w:rFonts w:eastAsia="Times New Roman" w:cstheme="minorHAnsi"/>
                <w:lang w:val="en-US"/>
              </w:rPr>
            </w:pPr>
            <w:r>
              <w:rPr>
                <w:rFonts w:eastAsia="Times New Roman" w:cstheme="minorHAnsi"/>
                <w:lang w:val="en-US"/>
              </w:rPr>
              <w:t>Dean</w:t>
            </w:r>
          </w:p>
        </w:tc>
      </w:tr>
    </w:tbl>
    <w:p w14:paraId="47A0E6CD" w14:textId="77777777" w:rsidR="00166165" w:rsidRDefault="00166165" w:rsidP="008D5628">
      <w:pPr>
        <w:tabs>
          <w:tab w:val="left" w:pos="567"/>
        </w:tabs>
      </w:pPr>
    </w:p>
    <w:sectPr w:rsidR="00166165" w:rsidSect="0066025C">
      <w:footerReference w:type="default" r:id="rId10"/>
      <w:pgSz w:w="12240" w:h="15840" w:code="1"/>
      <w:pgMar w:top="1152" w:right="1152" w:bottom="1152" w:left="1152"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BD4F" w14:textId="77777777" w:rsidR="003560A7" w:rsidRDefault="003560A7" w:rsidP="001D525A">
      <w:r>
        <w:separator/>
      </w:r>
    </w:p>
  </w:endnote>
  <w:endnote w:type="continuationSeparator" w:id="0">
    <w:p w14:paraId="472B9FED" w14:textId="77777777" w:rsidR="003560A7" w:rsidRDefault="003560A7"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307B0EF1" w:rsidR="003560A7" w:rsidRPr="00F5756D" w:rsidRDefault="003560A7">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8A2FB8">
              <w:rPr>
                <w:b/>
                <w:bCs/>
                <w:i/>
                <w:noProof/>
              </w:rPr>
              <w:t>2</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8A2FB8">
              <w:rPr>
                <w:b/>
                <w:bCs/>
                <w:i/>
                <w:noProof/>
              </w:rPr>
              <w:t>8</w:t>
            </w:r>
            <w:r w:rsidRPr="00F5756D">
              <w:rPr>
                <w:b/>
                <w:bCs/>
                <w:i/>
              </w:rPr>
              <w:fldChar w:fldCharType="end"/>
            </w:r>
          </w:p>
        </w:sdtContent>
      </w:sdt>
    </w:sdtContent>
  </w:sdt>
  <w:p w14:paraId="4B1E9C38" w14:textId="77777777" w:rsidR="003560A7" w:rsidRDefault="0035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AC0F" w14:textId="77777777" w:rsidR="003560A7" w:rsidRDefault="003560A7" w:rsidP="001D525A">
      <w:r>
        <w:separator/>
      </w:r>
    </w:p>
  </w:footnote>
  <w:footnote w:type="continuationSeparator" w:id="0">
    <w:p w14:paraId="50B05955" w14:textId="77777777" w:rsidR="003560A7" w:rsidRDefault="003560A7"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7077"/>
    <w:multiLevelType w:val="hybridMultilevel"/>
    <w:tmpl w:val="CE72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54014FC"/>
    <w:multiLevelType w:val="hybridMultilevel"/>
    <w:tmpl w:val="9E3A9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59594A"/>
    <w:multiLevelType w:val="hybridMultilevel"/>
    <w:tmpl w:val="630063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453D81"/>
    <w:multiLevelType w:val="hybridMultilevel"/>
    <w:tmpl w:val="D3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6" w15:restartNumberingAfterBreak="0">
    <w:nsid w:val="2AD147E2"/>
    <w:multiLevelType w:val="hybridMultilevel"/>
    <w:tmpl w:val="176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20"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2" w15:restartNumberingAfterBreak="0">
    <w:nsid w:val="36EA775E"/>
    <w:multiLevelType w:val="hybridMultilevel"/>
    <w:tmpl w:val="FD4287B8"/>
    <w:lvl w:ilvl="0" w:tplc="022C97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4"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0543CD"/>
    <w:multiLevelType w:val="hybridMultilevel"/>
    <w:tmpl w:val="B48C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9" w15:restartNumberingAfterBreak="0">
    <w:nsid w:val="3F5E27D3"/>
    <w:multiLevelType w:val="hybridMultilevel"/>
    <w:tmpl w:val="B7C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C1A5768"/>
    <w:multiLevelType w:val="hybridMultilevel"/>
    <w:tmpl w:val="147EA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4"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9B842EE"/>
    <w:multiLevelType w:val="hybridMultilevel"/>
    <w:tmpl w:val="24E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F55D0"/>
    <w:multiLevelType w:val="hybridMultilevel"/>
    <w:tmpl w:val="9F16AF2A"/>
    <w:lvl w:ilvl="0" w:tplc="0046CDA4">
      <w:start w:val="2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192E8E"/>
    <w:multiLevelType w:val="hybridMultilevel"/>
    <w:tmpl w:val="94F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417854"/>
    <w:multiLevelType w:val="hybridMultilevel"/>
    <w:tmpl w:val="0D4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4BA58AC"/>
    <w:multiLevelType w:val="hybridMultilevel"/>
    <w:tmpl w:val="1C183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D5626"/>
    <w:multiLevelType w:val="hybridMultilevel"/>
    <w:tmpl w:val="D4F69536"/>
    <w:lvl w:ilvl="0" w:tplc="ABC0618C">
      <w:start w:val="4"/>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9"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6D1E52"/>
    <w:multiLevelType w:val="hybridMultilevel"/>
    <w:tmpl w:val="48A0A5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531465"/>
    <w:multiLevelType w:val="hybridMultilevel"/>
    <w:tmpl w:val="B36E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E20A74"/>
    <w:multiLevelType w:val="hybridMultilevel"/>
    <w:tmpl w:val="879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0"/>
  </w:num>
  <w:num w:numId="4">
    <w:abstractNumId w:val="6"/>
  </w:num>
  <w:num w:numId="5">
    <w:abstractNumId w:val="27"/>
  </w:num>
  <w:num w:numId="6">
    <w:abstractNumId w:val="34"/>
  </w:num>
  <w:num w:numId="7">
    <w:abstractNumId w:val="33"/>
  </w:num>
  <w:num w:numId="8">
    <w:abstractNumId w:val="10"/>
  </w:num>
  <w:num w:numId="9">
    <w:abstractNumId w:val="30"/>
  </w:num>
  <w:num w:numId="10">
    <w:abstractNumId w:val="46"/>
  </w:num>
  <w:num w:numId="11">
    <w:abstractNumId w:val="0"/>
  </w:num>
  <w:num w:numId="12">
    <w:abstractNumId w:val="43"/>
  </w:num>
  <w:num w:numId="13">
    <w:abstractNumId w:val="32"/>
  </w:num>
  <w:num w:numId="14">
    <w:abstractNumId w:val="35"/>
  </w:num>
  <w:num w:numId="15">
    <w:abstractNumId w:val="13"/>
  </w:num>
  <w:num w:numId="16">
    <w:abstractNumId w:val="3"/>
  </w:num>
  <w:num w:numId="17">
    <w:abstractNumId w:val="21"/>
  </w:num>
  <w:num w:numId="18">
    <w:abstractNumId w:val="36"/>
  </w:num>
  <w:num w:numId="19">
    <w:abstractNumId w:val="23"/>
  </w:num>
  <w:num w:numId="20">
    <w:abstractNumId w:val="17"/>
  </w:num>
  <w:num w:numId="21">
    <w:abstractNumId w:val="44"/>
  </w:num>
  <w:num w:numId="22">
    <w:abstractNumId w:val="1"/>
  </w:num>
  <w:num w:numId="23">
    <w:abstractNumId w:val="53"/>
  </w:num>
  <w:num w:numId="24">
    <w:abstractNumId w:val="11"/>
  </w:num>
  <w:num w:numId="25">
    <w:abstractNumId w:val="7"/>
  </w:num>
  <w:num w:numId="26">
    <w:abstractNumId w:val="51"/>
  </w:num>
  <w:num w:numId="27">
    <w:abstractNumId w:val="18"/>
  </w:num>
  <w:num w:numId="28">
    <w:abstractNumId w:val="28"/>
  </w:num>
  <w:num w:numId="29">
    <w:abstractNumId w:val="8"/>
  </w:num>
  <w:num w:numId="30">
    <w:abstractNumId w:val="47"/>
  </w:num>
  <w:num w:numId="31">
    <w:abstractNumId w:val="24"/>
  </w:num>
  <w:num w:numId="32">
    <w:abstractNumId w:val="49"/>
  </w:num>
  <w:num w:numId="33">
    <w:abstractNumId w:val="14"/>
  </w:num>
  <w:num w:numId="34">
    <w:abstractNumId w:val="15"/>
  </w:num>
  <w:num w:numId="35">
    <w:abstractNumId w:val="38"/>
  </w:num>
  <w:num w:numId="36">
    <w:abstractNumId w:val="19"/>
  </w:num>
  <w:num w:numId="37">
    <w:abstractNumId w:val="42"/>
  </w:num>
  <w:num w:numId="38">
    <w:abstractNumId w:val="25"/>
  </w:num>
  <w:num w:numId="39">
    <w:abstractNumId w:val="29"/>
  </w:num>
  <w:num w:numId="40">
    <w:abstractNumId w:val="39"/>
  </w:num>
  <w:num w:numId="41">
    <w:abstractNumId w:val="5"/>
  </w:num>
  <w:num w:numId="42">
    <w:abstractNumId w:val="22"/>
  </w:num>
  <w:num w:numId="43">
    <w:abstractNumId w:val="26"/>
  </w:num>
  <w:num w:numId="44">
    <w:abstractNumId w:val="2"/>
  </w:num>
  <w:num w:numId="45">
    <w:abstractNumId w:val="50"/>
  </w:num>
  <w:num w:numId="46">
    <w:abstractNumId w:val="40"/>
  </w:num>
  <w:num w:numId="47">
    <w:abstractNumId w:val="31"/>
  </w:num>
  <w:num w:numId="48">
    <w:abstractNumId w:val="48"/>
  </w:num>
  <w:num w:numId="49">
    <w:abstractNumId w:val="52"/>
  </w:num>
  <w:num w:numId="50">
    <w:abstractNumId w:val="45"/>
  </w:num>
  <w:num w:numId="51">
    <w:abstractNumId w:val="4"/>
  </w:num>
  <w:num w:numId="52">
    <w:abstractNumId w:val="41"/>
  </w:num>
  <w:num w:numId="53">
    <w:abstractNumId w:val="37"/>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12635"/>
    <w:rsid w:val="00020A4D"/>
    <w:rsid w:val="00030166"/>
    <w:rsid w:val="000312D2"/>
    <w:rsid w:val="00050EB4"/>
    <w:rsid w:val="0005323D"/>
    <w:rsid w:val="000612BA"/>
    <w:rsid w:val="00062715"/>
    <w:rsid w:val="000647C5"/>
    <w:rsid w:val="000752FC"/>
    <w:rsid w:val="000830F0"/>
    <w:rsid w:val="0009003D"/>
    <w:rsid w:val="000A1441"/>
    <w:rsid w:val="000B12A2"/>
    <w:rsid w:val="000B258D"/>
    <w:rsid w:val="000B6DEB"/>
    <w:rsid w:val="000C02A9"/>
    <w:rsid w:val="000C4960"/>
    <w:rsid w:val="000E1575"/>
    <w:rsid w:val="000E2B00"/>
    <w:rsid w:val="000E313C"/>
    <w:rsid w:val="000E5AEF"/>
    <w:rsid w:val="000F34F8"/>
    <w:rsid w:val="001151EA"/>
    <w:rsid w:val="00117309"/>
    <w:rsid w:val="00117AAA"/>
    <w:rsid w:val="0012594B"/>
    <w:rsid w:val="00134406"/>
    <w:rsid w:val="001439D4"/>
    <w:rsid w:val="00154193"/>
    <w:rsid w:val="0016513D"/>
    <w:rsid w:val="00166165"/>
    <w:rsid w:val="00167154"/>
    <w:rsid w:val="00181C39"/>
    <w:rsid w:val="001841B7"/>
    <w:rsid w:val="001A370B"/>
    <w:rsid w:val="001B1D41"/>
    <w:rsid w:val="001D0603"/>
    <w:rsid w:val="001D42A0"/>
    <w:rsid w:val="001D525A"/>
    <w:rsid w:val="001E6333"/>
    <w:rsid w:val="001E73FD"/>
    <w:rsid w:val="001F29B2"/>
    <w:rsid w:val="00206FE2"/>
    <w:rsid w:val="00213490"/>
    <w:rsid w:val="00222808"/>
    <w:rsid w:val="0023196C"/>
    <w:rsid w:val="002405CC"/>
    <w:rsid w:val="00242A7E"/>
    <w:rsid w:val="00243224"/>
    <w:rsid w:val="00270BA9"/>
    <w:rsid w:val="002731C5"/>
    <w:rsid w:val="00275CB5"/>
    <w:rsid w:val="002876A8"/>
    <w:rsid w:val="0029363F"/>
    <w:rsid w:val="00293BB5"/>
    <w:rsid w:val="002A5F8C"/>
    <w:rsid w:val="002A6948"/>
    <w:rsid w:val="002B28AC"/>
    <w:rsid w:val="002C2D45"/>
    <w:rsid w:val="002C4FF0"/>
    <w:rsid w:val="002D5850"/>
    <w:rsid w:val="002E39AB"/>
    <w:rsid w:val="00303131"/>
    <w:rsid w:val="00307A6F"/>
    <w:rsid w:val="00321E4F"/>
    <w:rsid w:val="00325E10"/>
    <w:rsid w:val="0032681F"/>
    <w:rsid w:val="003327BE"/>
    <w:rsid w:val="00340C3D"/>
    <w:rsid w:val="0034278F"/>
    <w:rsid w:val="003560A7"/>
    <w:rsid w:val="00356399"/>
    <w:rsid w:val="00360481"/>
    <w:rsid w:val="0036130C"/>
    <w:rsid w:val="00361C60"/>
    <w:rsid w:val="003847D8"/>
    <w:rsid w:val="00391BA4"/>
    <w:rsid w:val="00395CAF"/>
    <w:rsid w:val="00397B0F"/>
    <w:rsid w:val="003B489C"/>
    <w:rsid w:val="003F7087"/>
    <w:rsid w:val="003F73B5"/>
    <w:rsid w:val="00404F47"/>
    <w:rsid w:val="00405EE4"/>
    <w:rsid w:val="00411DB1"/>
    <w:rsid w:val="0041526F"/>
    <w:rsid w:val="00424F83"/>
    <w:rsid w:val="00440DF7"/>
    <w:rsid w:val="00441061"/>
    <w:rsid w:val="00451A8A"/>
    <w:rsid w:val="004548DE"/>
    <w:rsid w:val="0046318D"/>
    <w:rsid w:val="0047266E"/>
    <w:rsid w:val="00474643"/>
    <w:rsid w:val="004801D3"/>
    <w:rsid w:val="00484723"/>
    <w:rsid w:val="004904DC"/>
    <w:rsid w:val="00490C5D"/>
    <w:rsid w:val="00491173"/>
    <w:rsid w:val="004B45C1"/>
    <w:rsid w:val="004B4922"/>
    <w:rsid w:val="004B5C8E"/>
    <w:rsid w:val="004C3455"/>
    <w:rsid w:val="004D159B"/>
    <w:rsid w:val="004D25CE"/>
    <w:rsid w:val="004E3481"/>
    <w:rsid w:val="004E47EE"/>
    <w:rsid w:val="004F4144"/>
    <w:rsid w:val="00501AF2"/>
    <w:rsid w:val="00504629"/>
    <w:rsid w:val="00513551"/>
    <w:rsid w:val="00523724"/>
    <w:rsid w:val="00527AF7"/>
    <w:rsid w:val="00537288"/>
    <w:rsid w:val="00543452"/>
    <w:rsid w:val="00544A72"/>
    <w:rsid w:val="00557DB5"/>
    <w:rsid w:val="0056102B"/>
    <w:rsid w:val="0057662A"/>
    <w:rsid w:val="00576DB1"/>
    <w:rsid w:val="00594731"/>
    <w:rsid w:val="005A5598"/>
    <w:rsid w:val="005D5621"/>
    <w:rsid w:val="005F7C4A"/>
    <w:rsid w:val="00601D5A"/>
    <w:rsid w:val="0060527C"/>
    <w:rsid w:val="00610EB8"/>
    <w:rsid w:val="0061100B"/>
    <w:rsid w:val="0061410F"/>
    <w:rsid w:val="00615369"/>
    <w:rsid w:val="00616C2B"/>
    <w:rsid w:val="006323B2"/>
    <w:rsid w:val="00632F73"/>
    <w:rsid w:val="0063346D"/>
    <w:rsid w:val="00646C6E"/>
    <w:rsid w:val="0066025C"/>
    <w:rsid w:val="00661983"/>
    <w:rsid w:val="0066388E"/>
    <w:rsid w:val="00664805"/>
    <w:rsid w:val="00672634"/>
    <w:rsid w:val="0067431B"/>
    <w:rsid w:val="0067700C"/>
    <w:rsid w:val="00692281"/>
    <w:rsid w:val="006A7CD5"/>
    <w:rsid w:val="006B3248"/>
    <w:rsid w:val="006B63B6"/>
    <w:rsid w:val="006C0DC6"/>
    <w:rsid w:val="006C2284"/>
    <w:rsid w:val="006C4DE5"/>
    <w:rsid w:val="006C680D"/>
    <w:rsid w:val="006E33B6"/>
    <w:rsid w:val="006E746B"/>
    <w:rsid w:val="006F1181"/>
    <w:rsid w:val="006F63F2"/>
    <w:rsid w:val="007101D3"/>
    <w:rsid w:val="0071789D"/>
    <w:rsid w:val="00721195"/>
    <w:rsid w:val="00731E31"/>
    <w:rsid w:val="00740BB0"/>
    <w:rsid w:val="00742FCC"/>
    <w:rsid w:val="00751BB5"/>
    <w:rsid w:val="00756CB0"/>
    <w:rsid w:val="00763D48"/>
    <w:rsid w:val="00771E8A"/>
    <w:rsid w:val="00773EEB"/>
    <w:rsid w:val="007771C4"/>
    <w:rsid w:val="007817E3"/>
    <w:rsid w:val="00785FB0"/>
    <w:rsid w:val="00791E76"/>
    <w:rsid w:val="00793062"/>
    <w:rsid w:val="00794472"/>
    <w:rsid w:val="007A516C"/>
    <w:rsid w:val="007A75E2"/>
    <w:rsid w:val="007A790C"/>
    <w:rsid w:val="007B1339"/>
    <w:rsid w:val="007B283C"/>
    <w:rsid w:val="007B3C22"/>
    <w:rsid w:val="007C7A29"/>
    <w:rsid w:val="007E71F3"/>
    <w:rsid w:val="007F6E4B"/>
    <w:rsid w:val="008006E4"/>
    <w:rsid w:val="00811016"/>
    <w:rsid w:val="00814916"/>
    <w:rsid w:val="008219D8"/>
    <w:rsid w:val="0083241C"/>
    <w:rsid w:val="0083379B"/>
    <w:rsid w:val="00836084"/>
    <w:rsid w:val="00840D7E"/>
    <w:rsid w:val="00850AED"/>
    <w:rsid w:val="00855523"/>
    <w:rsid w:val="00877BFF"/>
    <w:rsid w:val="00885290"/>
    <w:rsid w:val="00893B60"/>
    <w:rsid w:val="008A10D7"/>
    <w:rsid w:val="008A2FB8"/>
    <w:rsid w:val="008B0DBC"/>
    <w:rsid w:val="008B2A8D"/>
    <w:rsid w:val="008B4966"/>
    <w:rsid w:val="008B4DB7"/>
    <w:rsid w:val="008B5CCC"/>
    <w:rsid w:val="008C0D00"/>
    <w:rsid w:val="008C78D7"/>
    <w:rsid w:val="008D044F"/>
    <w:rsid w:val="008D5628"/>
    <w:rsid w:val="008D6146"/>
    <w:rsid w:val="008E3EFC"/>
    <w:rsid w:val="009170A4"/>
    <w:rsid w:val="0092015D"/>
    <w:rsid w:val="00922BC9"/>
    <w:rsid w:val="00923127"/>
    <w:rsid w:val="00926E3D"/>
    <w:rsid w:val="009322DE"/>
    <w:rsid w:val="0093441B"/>
    <w:rsid w:val="009419D5"/>
    <w:rsid w:val="00946B2F"/>
    <w:rsid w:val="0095020D"/>
    <w:rsid w:val="00957B3F"/>
    <w:rsid w:val="0098151C"/>
    <w:rsid w:val="00986466"/>
    <w:rsid w:val="009972A5"/>
    <w:rsid w:val="009A1CDB"/>
    <w:rsid w:val="009A356E"/>
    <w:rsid w:val="009A6075"/>
    <w:rsid w:val="009A69C2"/>
    <w:rsid w:val="009B3479"/>
    <w:rsid w:val="009B5B68"/>
    <w:rsid w:val="009E0139"/>
    <w:rsid w:val="00A05B94"/>
    <w:rsid w:val="00A174E7"/>
    <w:rsid w:val="00A234B9"/>
    <w:rsid w:val="00A30646"/>
    <w:rsid w:val="00A406F6"/>
    <w:rsid w:val="00A41C05"/>
    <w:rsid w:val="00A54F27"/>
    <w:rsid w:val="00A55F2A"/>
    <w:rsid w:val="00A67473"/>
    <w:rsid w:val="00A67828"/>
    <w:rsid w:val="00A75799"/>
    <w:rsid w:val="00A8598D"/>
    <w:rsid w:val="00A97821"/>
    <w:rsid w:val="00AA6646"/>
    <w:rsid w:val="00AB106F"/>
    <w:rsid w:val="00AB1FBE"/>
    <w:rsid w:val="00AB40D4"/>
    <w:rsid w:val="00AB70C9"/>
    <w:rsid w:val="00AE1B08"/>
    <w:rsid w:val="00AE64D1"/>
    <w:rsid w:val="00B00F63"/>
    <w:rsid w:val="00B124A5"/>
    <w:rsid w:val="00B23957"/>
    <w:rsid w:val="00B347FD"/>
    <w:rsid w:val="00B412C6"/>
    <w:rsid w:val="00B6396F"/>
    <w:rsid w:val="00B7085E"/>
    <w:rsid w:val="00B83768"/>
    <w:rsid w:val="00B848D5"/>
    <w:rsid w:val="00B873B4"/>
    <w:rsid w:val="00B90FAA"/>
    <w:rsid w:val="00B93178"/>
    <w:rsid w:val="00BA6330"/>
    <w:rsid w:val="00BB1ECB"/>
    <w:rsid w:val="00BB369B"/>
    <w:rsid w:val="00BB68BC"/>
    <w:rsid w:val="00BC44D8"/>
    <w:rsid w:val="00C12614"/>
    <w:rsid w:val="00C13EF7"/>
    <w:rsid w:val="00C16896"/>
    <w:rsid w:val="00C20FF0"/>
    <w:rsid w:val="00C242B4"/>
    <w:rsid w:val="00C351C4"/>
    <w:rsid w:val="00C35B22"/>
    <w:rsid w:val="00C35FDC"/>
    <w:rsid w:val="00C40B27"/>
    <w:rsid w:val="00C475AD"/>
    <w:rsid w:val="00C47AAB"/>
    <w:rsid w:val="00C5029D"/>
    <w:rsid w:val="00C6631E"/>
    <w:rsid w:val="00C75A00"/>
    <w:rsid w:val="00C953E8"/>
    <w:rsid w:val="00C959E2"/>
    <w:rsid w:val="00C976F8"/>
    <w:rsid w:val="00CA2528"/>
    <w:rsid w:val="00CB427E"/>
    <w:rsid w:val="00CB5B5C"/>
    <w:rsid w:val="00CC1AEE"/>
    <w:rsid w:val="00CC355F"/>
    <w:rsid w:val="00CC4DA7"/>
    <w:rsid w:val="00CC4E86"/>
    <w:rsid w:val="00CC75D9"/>
    <w:rsid w:val="00CD74CA"/>
    <w:rsid w:val="00D00C87"/>
    <w:rsid w:val="00D05884"/>
    <w:rsid w:val="00D25575"/>
    <w:rsid w:val="00D31DA5"/>
    <w:rsid w:val="00D37424"/>
    <w:rsid w:val="00D37979"/>
    <w:rsid w:val="00D53DEC"/>
    <w:rsid w:val="00D7410E"/>
    <w:rsid w:val="00D75767"/>
    <w:rsid w:val="00D84450"/>
    <w:rsid w:val="00D970B1"/>
    <w:rsid w:val="00DA3472"/>
    <w:rsid w:val="00DB7F0D"/>
    <w:rsid w:val="00DC3FB9"/>
    <w:rsid w:val="00DD007F"/>
    <w:rsid w:val="00DD427B"/>
    <w:rsid w:val="00DD57F3"/>
    <w:rsid w:val="00DD5D55"/>
    <w:rsid w:val="00DE10EE"/>
    <w:rsid w:val="00DE61E8"/>
    <w:rsid w:val="00DF2E05"/>
    <w:rsid w:val="00E00ABA"/>
    <w:rsid w:val="00E20A04"/>
    <w:rsid w:val="00E2600C"/>
    <w:rsid w:val="00E26321"/>
    <w:rsid w:val="00E26B46"/>
    <w:rsid w:val="00E329D7"/>
    <w:rsid w:val="00E36680"/>
    <w:rsid w:val="00E52D7D"/>
    <w:rsid w:val="00E52F16"/>
    <w:rsid w:val="00E662A4"/>
    <w:rsid w:val="00E673C6"/>
    <w:rsid w:val="00E67716"/>
    <w:rsid w:val="00E8161A"/>
    <w:rsid w:val="00E838B4"/>
    <w:rsid w:val="00E83DEA"/>
    <w:rsid w:val="00E84F4B"/>
    <w:rsid w:val="00E86E5A"/>
    <w:rsid w:val="00EB2AE7"/>
    <w:rsid w:val="00EC4230"/>
    <w:rsid w:val="00EC78DF"/>
    <w:rsid w:val="00ED400E"/>
    <w:rsid w:val="00ED6B1F"/>
    <w:rsid w:val="00ED6C4B"/>
    <w:rsid w:val="00EE5CA6"/>
    <w:rsid w:val="00EF1D58"/>
    <w:rsid w:val="00EF4612"/>
    <w:rsid w:val="00EF7608"/>
    <w:rsid w:val="00F1257A"/>
    <w:rsid w:val="00F12773"/>
    <w:rsid w:val="00F13BE2"/>
    <w:rsid w:val="00F160CB"/>
    <w:rsid w:val="00F17ED7"/>
    <w:rsid w:val="00F21922"/>
    <w:rsid w:val="00F305A4"/>
    <w:rsid w:val="00F30E91"/>
    <w:rsid w:val="00F51174"/>
    <w:rsid w:val="00F55EF0"/>
    <w:rsid w:val="00F56951"/>
    <w:rsid w:val="00F5756D"/>
    <w:rsid w:val="00F61B4A"/>
    <w:rsid w:val="00F647C0"/>
    <w:rsid w:val="00F66FA6"/>
    <w:rsid w:val="00F671C6"/>
    <w:rsid w:val="00F714C6"/>
    <w:rsid w:val="00F73298"/>
    <w:rsid w:val="00F8457C"/>
    <w:rsid w:val="00F9016D"/>
    <w:rsid w:val="00F904E8"/>
    <w:rsid w:val="00F975C8"/>
    <w:rsid w:val="00FA1130"/>
    <w:rsid w:val="00FA680C"/>
    <w:rsid w:val="00FD3796"/>
    <w:rsid w:val="00FD52DA"/>
    <w:rsid w:val="00FD62CB"/>
    <w:rsid w:val="00FE1DA6"/>
    <w:rsid w:val="00FE55EE"/>
    <w:rsid w:val="00FE76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462370F"/>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character" w:styleId="Hyperlink">
    <w:name w:val="Hyperlink"/>
    <w:basedOn w:val="DefaultParagraphFont"/>
    <w:uiPriority w:val="99"/>
    <w:semiHidden/>
    <w:unhideWhenUsed/>
    <w:rsid w:val="00F51174"/>
    <w:rPr>
      <w:color w:val="0000FF"/>
      <w:u w:val="single"/>
    </w:rPr>
  </w:style>
  <w:style w:type="paragraph" w:styleId="Revision">
    <w:name w:val="Revision"/>
    <w:hidden/>
    <w:uiPriority w:val="99"/>
    <w:semiHidden/>
    <w:rsid w:val="0057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41136">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5CDA6-C2D6-48F8-AD1F-3B75BEF4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7</cp:revision>
  <cp:lastPrinted>2019-10-29T18:42:00Z</cp:lastPrinted>
  <dcterms:created xsi:type="dcterms:W3CDTF">2019-10-09T13:08:00Z</dcterms:created>
  <dcterms:modified xsi:type="dcterms:W3CDTF">2021-11-02T13:34:00Z</dcterms:modified>
</cp:coreProperties>
</file>